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0"/>
      </w:pPr>
    </w:p>
    <w:p>
      <w:pPr>
        <w:spacing w:after="200"/>
      </w:pPr>
    </w:p>
    <w:p>
      <w:pPr>
        <w:spacing w:after="200"/>
      </w:pPr>
    </w:p>
    <w:p>
      <w:pPr>
        <w:spacing w:after="200"/>
      </w:pPr>
    </w:p>
    <w:p>
      <w:pPr>
        <w:spacing w:after="200"/>
      </w:pPr>
    </w:p>
    <w:p>
      <w:pPr>
        <w:spacing w:after="280"/>
        <w:jc w:val="center"/>
      </w:pPr>
      <w:r>
        <w:rPr>
          <w:rFonts w:ascii="Calibri" w:hAnsi="Calibri"/>
          <w:b/>
          <w:color w:val="F2C94C"/>
          <w:sz w:val="20"/>
        </w:rPr>
        <w:t>INTERNAL SALES ENABLEMENT</w:t>
      </w:r>
    </w:p>
    <w:p>
      <w:pPr>
        <w:spacing w:after="80"/>
        <w:jc w:val="center"/>
      </w:pPr>
      <w:r>
        <w:rPr>
          <w:rFonts w:ascii="Calibri" w:hAnsi="Calibri"/>
          <w:b/>
          <w:color w:val="0B2545"/>
          <w:sz w:val="60"/>
        </w:rPr>
        <w:t>QUOTIFY</w:t>
      </w:r>
    </w:p>
    <w:p>
      <w:pPr>
        <w:spacing w:after="160"/>
        <w:jc w:val="center"/>
      </w:pPr>
      <w:r>
        <w:rPr>
          <w:rFonts w:ascii="Calibri" w:hAnsi="Calibri"/>
          <w:b/>
          <w:color w:val="2E74B5"/>
          <w:sz w:val="46"/>
        </w:rPr>
        <w:t>Appointment Setter Playbook</w:t>
      </w:r>
    </w:p>
    <w:p>
      <w:pPr>
        <w:spacing w:after="520"/>
        <w:jc w:val="center"/>
      </w:pPr>
      <w:r>
        <w:rPr>
          <w:rFonts w:ascii="Calibri" w:hAnsi="Calibri"/>
          <w:b/>
          <w:color w:val="0B2545"/>
          <w:sz w:val="27"/>
        </w:rPr>
        <w:t>California Home Remodelers | ADU &amp; Garage Conversion Campaign</w:t>
      </w:r>
    </w:p>
    <w:p>
      <w:pPr>
        <w:spacing w:after="1400"/>
        <w:jc w:val="center"/>
      </w:pPr>
      <w:r>
        <w:rPr>
          <w:rFonts w:ascii="Calibri" w:hAnsi="Calibri"/>
          <w:i/>
          <w:color w:val="5F6B76"/>
          <w:sz w:val="21"/>
        </w:rPr>
        <w:t>Cold calling • appointment booking • objection handling • cadence • quality control</w:t>
      </w:r>
    </w:p>
    <w:p>
      <w:pPr>
        <w:spacing w:after="100"/>
        <w:jc w:val="center"/>
      </w:pPr>
      <w:r>
        <w:rPr>
          <w:rFonts w:ascii="Calibri" w:hAnsi="Calibri"/>
          <w:b/>
          <w:color w:val="0B2545"/>
          <w:sz w:val="20"/>
        </w:rPr>
        <w:t>Version 1.0  |  August 2026</w:t>
      </w:r>
    </w:p>
    <w:p>
      <w:pPr>
        <w:spacing w:after="120"/>
        <w:jc w:val="center"/>
      </w:pPr>
      <w:r>
        <w:rPr>
          <w:rFonts w:ascii="Calibri" w:hAnsi="Calibri"/>
          <w:color w:val="5F6B76"/>
          <w:sz w:val="19"/>
        </w:rPr>
        <w:t>Prepared for the Optimyzed / Quotify outbound team</w:t>
      </w:r>
    </w:p>
    <w:p>
      <w:pPr>
        <w:jc w:val="center"/>
      </w:pPr>
      <w:r>
        <w:rPr>
          <w:rFonts w:ascii="Calibri" w:hAnsi="Calibri"/>
          <w:b/>
          <w:color w:val="9B1C1C"/>
          <w:sz w:val="17"/>
        </w:rPr>
        <w:t>Confidential — internal operating guide</w:t>
      </w:r>
    </w:p>
    <w:p>
      <w:r>
        <w:br w:type="page"/>
      </w:r>
    </w:p>
    <w:p>
      <w:pPr>
        <w:pStyle w:val="Heading1"/>
      </w:pPr>
      <w:r>
        <w:t>How to Use This Playbook</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SETTER MISSION</w:t>
            </w:r>
          </w:p>
          <w:p>
            <w:pPr>
              <w:spacing w:after="0"/>
            </w:pPr>
            <w:r>
              <w:rPr>
                <w:rFonts w:ascii="Calibri" w:hAnsi="Calibri"/>
                <w:b w:val="0"/>
                <w:color w:val="0B2545"/>
                <w:sz w:val="21"/>
              </w:rPr>
              <w:t>Earn a qualified 20-minute Google Ads Lead-to-Estimate Assessment with the owner or person responsible for marketing and lead intake. Do not sell the implementation on the cold call.</w:t>
            </w:r>
          </w:p>
        </w:tc>
      </w:tr>
    </w:tbl>
    <w:p>
      <w:pPr>
        <w:spacing w:after="0"/>
      </w:pPr>
    </w:p>
    <w:p>
      <w:pPr>
        <w:pStyle w:val="ListBullet"/>
      </w:pPr>
      <w:r>
        <w:t>Use the lead research card before every first call. One concrete observation is required; improvising a generic pitch is not.</w:t>
      </w:r>
    </w:p>
    <w:p>
      <w:pPr>
        <w:pStyle w:val="ListBullet"/>
      </w:pPr>
      <w:r>
        <w:t>Use the base call architecture, then choose the script branch that matches the observed destination: homepage, generic form, or mature intake stack.</w:t>
      </w:r>
    </w:p>
    <w:p>
      <w:pPr>
        <w:pStyle w:val="ListBullet"/>
      </w:pPr>
      <w:r>
        <w:t>Ask one diagnostic question, occasionally two. The setter is not conducting the assessment on the prospecting call.</w:t>
      </w:r>
    </w:p>
    <w:p>
      <w:pPr>
        <w:pStyle w:val="ListBullet"/>
      </w:pPr>
      <w:r>
        <w:t>Book the assessment, confirm the decision maker and meeting objective, log the evidence, and hand off cleanly.</w:t>
      </w:r>
    </w:p>
    <w:p>
      <w:pPr>
        <w:pStyle w:val="ListBullet"/>
      </w:pPr>
      <w:r>
        <w:t>Treat the objection language as a framework. Read it until natural; do not perform it like a script.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B8860B"/>
              <w:start w:val="single" w:sz="8" w:space="0" w:color="B8860B"/>
              <w:bottom w:val="single" w:sz="8" w:space="0" w:color="B8860B"/>
              <w:end w:val="single" w:sz="8" w:space="0" w:color="B8860B"/>
              <w:insideH w:val="single" w:sz="8" w:space="0" w:color="B8860B"/>
              <w:insideV w:val="single" w:sz="8" w:space="0" w:color="B8860B"/>
            </w:tcBorders>
            <w:shd w:fill="FFF8E1" w:val="clear"/>
            <w:tcMar>
              <w:top w:w="80" w:type="dxa"/>
              <w:start w:w="120" w:type="dxa"/>
              <w:bottom w:w="80" w:type="dxa"/>
              <w:end w:w="120" w:type="dxa"/>
            </w:tcMar>
            <w:vAlign w:val="top"/>
          </w:tcPr>
          <w:p>
            <w:pPr>
              <w:spacing w:after="40"/>
            </w:pPr>
            <w:r>
              <w:rPr>
                <w:rFonts w:ascii="Calibri" w:hAnsi="Calibri"/>
                <w:b/>
                <w:color w:val="B8860B"/>
                <w:sz w:val="18"/>
              </w:rPr>
              <w:t>CORE POSITIONING</w:t>
            </w:r>
          </w:p>
          <w:p>
            <w:pPr>
              <w:spacing w:after="0"/>
            </w:pPr>
            <w:r>
              <w:rPr>
                <w:rFonts w:ascii="Calibri" w:hAnsi="Calibri"/>
                <w:b w:val="0"/>
                <w:color w:val="0B2545"/>
                <w:sz w:val="21"/>
              </w:rPr>
              <w:t>Quotify is the human-governed control and intelligence layer between paid quote intent and booked estimate opportunities. It improves the post-click intake workflow; it is not lead generation, a generic form, a chatbot, or a replacement CRM.</w:t>
            </w:r>
          </w:p>
        </w:tc>
      </w:tr>
    </w:tbl>
    <w:p>
      <w:pPr>
        <w:spacing w:after="0"/>
      </w:pPr>
    </w:p>
    <w:p>
      <w:pPr>
        <w:pStyle w:val="Heading1"/>
      </w:pPr>
      <w:r>
        <w:t>1. Campaign Strategy and Red-Team Verdict</w:t>
      </w:r>
    </w:p>
    <w:p>
      <w:r>
        <w:rPr>
          <w:b/>
        </w:rPr>
        <w:t xml:space="preserve">The targeting logic is strong, but it identifies fit—not proven pain. </w:t>
      </w:r>
      <w:r>
        <w:t>A contractor being licensed, appearing in sponsored results for high-value remodeling intent, and routing visitors to a homepage or basic form gives the setter a credible reason to investigate. It does not prove that leads are being lost or that the contractor's current system is failing.</w:t>
      </w:r>
    </w:p>
    <w:tbl>
      <w:tblPr>
        <w:tblW w:type="dxa" w:w="9360"/>
        <w:jc w:val="left"/>
        <w:tblInd w:w="120" w:type="dxa"/>
        <w:tblLayout w:type="fixed"/>
        <w:tblLook w:firstColumn="1" w:firstRow="1" w:lastColumn="0" w:lastRow="0" w:noHBand="0" w:noVBand="1" w:val="04A0"/>
      </w:tblPr>
      <w:tblGrid>
        <w:gridCol w:w="2400"/>
        <w:gridCol w:w="1300"/>
        <w:gridCol w:w="5660"/>
      </w:tblGrid>
      <w:tr>
        <w:trPr>
          <w:cantSplit w:val="true"/>
          <w:tblHeader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Approach</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Verdict</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Operating correction</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Licensed California remodelers</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Keep</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Confirms market legitimacy and narrows the ICP. Never imply CSLB endorsement or access to private records.</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Ad-active for ADU / garage conversion intent</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Keep</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Use as relevance: they already invest in high-value demand. Do not estimate spend or performance without data.</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Homepage or generic form destination</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Keep as a signal</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Describe what was observed. Say it may create friction; never declare that it is leaking leads.</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Homeowner-pain framing</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Keep, then bridge</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Start with homeowner uncertainty, then connect it to delayed qualification, prioritization, and booked-estimate control.</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Test form submissions</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Stop going forward</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Do not impersonate homeowners, pollute conversion data, or create work. Past test data is internal prioritization only.</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Clicking sponsored ads</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Stop going forward</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Use public ad observations, advertiser transparency tools, and direct website access. Do not create chargeable or invalid clicks.</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Feature-by-feature competitor attack</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Reject</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Incumbents now have AI answering, booking, tracking, and qualification. Sell the governed workflow and improvement loop.</w:t>
            </w:r>
          </w:p>
        </w:tc>
      </w:tr>
      <w:tr>
        <w:trPr>
          <w:cantSplit w:val="true"/>
        </w:trPr>
        <w:tc>
          <w:tcPr>
            <w:tcW w:type="dxa" w:w="24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Lead with AI</w:t>
            </w:r>
          </w:p>
        </w:tc>
        <w:tc>
          <w:tcPr>
            <w:tcW w:type="dxa" w:w="1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Reject for first touch</w:t>
            </w:r>
          </w:p>
        </w:tc>
        <w:tc>
          <w:tcPr>
            <w:tcW w:type="dxa" w:w="56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Lead with paid-intent handling and homeowner experience. AI is a mechanism discussed later, not the cold-call hook.</w:t>
            </w:r>
          </w:p>
        </w:tc>
      </w:tr>
    </w:tbl>
    <w:p>
      <w:pPr>
        <w:spacing w:after="0"/>
      </w:pPr>
    </w:p>
    <w:p>
      <w:pPr>
        <w:pStyle w:val="Heading2"/>
      </w:pPr>
      <w:r>
        <w:t>The homeowner-to-commercial bridge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A homeowner searching for an ADU or garage conversion is making a complex, expensive decision. If the click lands on a generic page, the homeowner may not know what information to provide, whether the contractor serves the property, what the next step is, or when anyone will respond. That does not prove the lead is lost. It does create a point worth measuring: how quickly the contractor can turn that intent into a properly scoped, prioritized, bookable estimate opportunity.</w:t>
            </w:r>
          </w:p>
        </w:tc>
      </w:tr>
    </w:tbl>
    <w:p>
      <w:pPr>
        <w:spacing w:after="0"/>
      </w:pP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SETTER LANGUAGE RULE</w:t>
            </w:r>
          </w:p>
          <w:p>
            <w:pPr>
              <w:spacing w:after="0"/>
            </w:pPr>
            <w:r>
              <w:rPr>
                <w:rFonts w:ascii="Calibri" w:hAnsi="Calibri"/>
                <w:b/>
                <w:color w:val="0B2545"/>
                <w:sz w:val="21"/>
              </w:rPr>
              <w:t>Observation first. Possibility second. Diagnostic question third. Never turn an outside observation into an inside-business conclusion.</w:t>
            </w:r>
          </w:p>
        </w:tc>
      </w:tr>
    </w:tbl>
    <w:p>
      <w:pPr>
        <w:spacing w:after="0"/>
      </w:pPr>
    </w:p>
    <w:p>
      <w:pPr>
        <w:pStyle w:val="Heading1"/>
      </w:pPr>
      <w:r>
        <w:t>2. ICP, Lead Tiers, and Research Card</w:t>
      </w:r>
    </w:p>
    <w:p>
      <w:pPr>
        <w:pStyle w:val="Heading2"/>
      </w:pPr>
      <w:r>
        <w:t>Minimum fit</w:t>
      </w:r>
    </w:p>
    <w:p>
      <w:pPr>
        <w:pStyle w:val="ListBullet"/>
      </w:pPr>
      <w:r>
        <w:t>Active California contractor license relevant to remodeling/general contracting.</w:t>
      </w:r>
    </w:p>
    <w:p>
      <w:pPr>
        <w:pStyle w:val="ListBullet"/>
      </w:pPr>
      <w:r>
        <w:t>Observed sponsored visibility for ADU, garage conversion, or another high-value estimate-led service.</w:t>
      </w:r>
    </w:p>
    <w:p>
      <w:pPr>
        <w:pStyle w:val="ListBullet"/>
      </w:pPr>
      <w:r>
        <w:t>A publicly visible post-click destination that can be reviewed without impersonating a homeowner.</w:t>
      </w:r>
    </w:p>
    <w:p>
      <w:pPr>
        <w:pStyle w:val="ListBullet"/>
      </w:pPr>
      <w:r>
        <w:t>A business-published telephone number and, preferably, an identified owner or marketing/operations decision maker.</w:t>
      </w:r>
    </w:p>
    <w:p>
      <w:pPr>
        <w:pStyle w:val="ListBullet"/>
      </w:pPr>
      <w:r>
        <w:t>Evidence that the business can fulfill high-value work and has a reason to protect paid quote intent.</w:t>
      </w:r>
    </w:p>
    <w:p>
      <w:pPr>
        <w:pStyle w:val="Heading2"/>
      </w:pPr>
      <w:r>
        <w:t>Priority tiers</w:t>
      </w:r>
    </w:p>
    <w:tbl>
      <w:tblPr>
        <w:tblW w:type="dxa" w:w="9360"/>
        <w:jc w:val="left"/>
        <w:tblInd w:w="120" w:type="dxa"/>
        <w:tblLayout w:type="fixed"/>
        <w:tblLook w:firstColumn="1" w:firstRow="1" w:lastColumn="0" w:lastRow="0" w:noHBand="0" w:noVBand="1" w:val="04A0"/>
      </w:tblPr>
      <w:tblGrid>
        <w:gridCol w:w="1250"/>
        <w:gridCol w:w="5420"/>
        <w:gridCol w:w="2690"/>
      </w:tblGrid>
      <w:tr>
        <w:trPr>
          <w:cantSplit w:val="true"/>
          <w:tblHeader w:val="true"/>
        </w:trPr>
        <w:tc>
          <w:tcPr>
            <w:tcW w:type="dxa" w:w="12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Tier</w:t>
            </w:r>
          </w:p>
        </w:tc>
        <w:tc>
          <w:tcPr>
            <w:tcW w:type="dxa" w:w="5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Required signals</w:t>
            </w:r>
          </w:p>
        </w:tc>
        <w:tc>
          <w:tcPr>
            <w:tcW w:type="dxa" w:w="269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Primary opener</w:t>
            </w:r>
          </w:p>
        </w:tc>
      </w:tr>
      <w:tr>
        <w:trPr>
          <w:cantSplit w:val="true"/>
        </w:trPr>
        <w:tc>
          <w:tcPr>
            <w:tcW w:type="dxa" w:w="12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 — Strongest</w:t>
            </w:r>
          </w:p>
        </w:tc>
        <w:tc>
          <w:tcPr>
            <w:tcW w:type="dxa" w:w="5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Ad-active high-value keyword + homepage/basic form + no visible scope/booking path + decision maker identified</w:t>
            </w:r>
          </w:p>
        </w:tc>
        <w:tc>
          <w:tcPr>
            <w:tcW w:type="dxa" w:w="269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Specific post-click observation</w:t>
            </w:r>
          </w:p>
        </w:tc>
      </w:tr>
      <w:tr>
        <w:trPr>
          <w:cantSplit w:val="true"/>
        </w:trPr>
        <w:tc>
          <w:tcPr>
            <w:tcW w:type="dxa" w:w="12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B — Competitive stack</w:t>
            </w:r>
          </w:p>
        </w:tc>
        <w:tc>
          <w:tcPr>
            <w:tcW w:type="dxa" w:w="5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Ad-active + visible CRM/AI/booking/call-tracking system + uncertain cross-channel workflow</w:t>
            </w:r>
          </w:p>
        </w:tc>
        <w:tc>
          <w:tcPr>
            <w:tcW w:type="dxa" w:w="269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Current-stack optimization question</w:t>
            </w:r>
          </w:p>
        </w:tc>
      </w:tr>
      <w:tr>
        <w:trPr>
          <w:cantSplit w:val="true"/>
        </w:trPr>
        <w:tc>
          <w:tcPr>
            <w:tcW w:type="dxa" w:w="12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 — Uncertain</w:t>
            </w:r>
          </w:p>
        </w:tc>
        <w:tc>
          <w:tcPr>
            <w:tcW w:type="dxa" w:w="5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Ad-active but destination or decision maker unclear</w:t>
            </w:r>
          </w:p>
        </w:tc>
        <w:tc>
          <w:tcPr>
            <w:tcW w:type="dxa" w:w="269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Verification call; do not diagnose</w:t>
            </w:r>
          </w:p>
        </w:tc>
      </w:tr>
      <w:tr>
        <w:trPr>
          <w:cantSplit w:val="true"/>
        </w:trPr>
        <w:tc>
          <w:tcPr>
            <w:tcW w:type="dxa" w:w="12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Hold</w:t>
            </w:r>
          </w:p>
        </w:tc>
        <w:tc>
          <w:tcPr>
            <w:tcW w:type="dxa" w:w="5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License issue, no clear ad evidence, wrong service line, duplicate, personal-only number, or do-not-call request</w:t>
            </w:r>
          </w:p>
        </w:tc>
        <w:tc>
          <w:tcPr>
            <w:tcW w:type="dxa" w:w="269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No outreach until resolved</w:t>
            </w:r>
          </w:p>
        </w:tc>
      </w:tr>
    </w:tbl>
    <w:p>
      <w:pPr>
        <w:spacing w:after="0"/>
      </w:pPr>
    </w:p>
    <w:p>
      <w:pPr>
        <w:pStyle w:val="Heading2"/>
      </w:pPr>
      <w:r>
        <w:t>Required research-card fields</w:t>
      </w:r>
    </w:p>
    <w:tbl>
      <w:tblPr>
        <w:tblW w:type="dxa" w:w="9360"/>
        <w:jc w:val="left"/>
        <w:tblInd w:w="120" w:type="dxa"/>
        <w:tblLayout w:type="fixed"/>
        <w:tblLook w:firstColumn="1" w:firstRow="1" w:lastColumn="0" w:lastRow="0" w:noHBand="0" w:noVBand="1" w:val="04A0"/>
      </w:tblPr>
      <w:tblGrid>
        <w:gridCol w:w="1700"/>
        <w:gridCol w:w="3510"/>
        <w:gridCol w:w="4150"/>
      </w:tblGrid>
      <w:tr>
        <w:trPr>
          <w:cantSplit w:val="true"/>
          <w:tblHeader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Field</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Example / allowed value</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Rule</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License</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CSLB active; classification; verified date</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Record source and date. No implied endorsement.</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Ad observation</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Sponsored result observed 13 Aug 2026</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Screenshot or note; never claim continuous activity.</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Intent theme</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ADU contractor / garage conversion</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Record the theme, not assumed exact bid keyword.</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Destination</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Homepage / contact form / dedicated landing page / call CTA</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Access directly where possible; no paid click.</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Observed friction</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No visible scope questions; no next-step timing; no booking</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Observation only, not a leakage conclusion.</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Existing stack</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ServiceTitan / Housecall Pro / Jobber / HighLevel / WhatConverts / CallRail / unknown</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Visible or confirmed; do not guess.</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Decision maker</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Owner / GM / marketing / intake operations</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Business-relevant role and published contact only.</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Compliance</w:t>
            </w:r>
          </w:p>
        </w:tc>
        <w:tc>
          <w:tcPr>
            <w:tcW w:type="dxa" w:w="35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Business line / mobile-uncertain / DNC / recording consent</w:t>
            </w:r>
          </w:p>
        </w:tc>
        <w:tc>
          <w:tcPr>
            <w:tcW w:type="dxa" w:w="41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Unknown mobile ownership triggers cautious manual-only handling.</w:t>
            </w:r>
          </w:p>
        </w:tc>
      </w:tr>
    </w:tbl>
    <w:p>
      <w:pPr>
        <w:spacing w:after="0"/>
      </w:pPr>
    </w:p>
    <w:p>
      <w:pPr>
        <w:pStyle w:val="Heading2"/>
      </w:pPr>
      <w:r>
        <w:t>Research labels</w:t>
      </w:r>
    </w:p>
    <w:p>
      <w:pPr>
        <w:pStyle w:val="ListBullet"/>
      </w:pPr>
      <w:r>
        <w:t>LIC-ACTIVE | ADS-OBSERVED | INTENT-ADU | INTENT-GARAGE-CONVERSION</w:t>
      </w:r>
    </w:p>
    <w:p>
      <w:pPr>
        <w:pStyle w:val="ListBullet"/>
      </w:pPr>
      <w:r>
        <w:t>DEST-HOMEPAGE | DEST-GENERIC-FORM | DEST-LANDING-PAGE | DEST-CALL</w:t>
      </w:r>
    </w:p>
    <w:p>
      <w:pPr>
        <w:pStyle w:val="ListBullet"/>
      </w:pPr>
      <w:r>
        <w:t>FRICTION-NO-SCOPE | FRICTION-NO-BOOKING | FRICTION-NEXT-STEP-UNCLEAR</w:t>
      </w:r>
    </w:p>
    <w:p>
      <w:pPr>
        <w:pStyle w:val="ListBullet"/>
      </w:pPr>
      <w:r>
        <w:t>STACK-SERVICETITAN | STACK-HCP | STACK-JOBBER | STACK-GHL | STACK-ATTRIBUTION | STACK-UNKNOWN</w:t>
      </w:r>
    </w:p>
    <w:p>
      <w:pPr>
        <w:pStyle w:val="ListBullet"/>
      </w:pPr>
      <w:r>
        <w:t>DM-IDENTIFIED | GATEKEEPER | CALLBACK-REQUESTED | DNC | DISQUALIFIED</w:t>
      </w:r>
    </w:p>
    <w:p>
      <w:pPr>
        <w:pStyle w:val="Heading1"/>
      </w:pPr>
      <w:r>
        <w:t>3. Offer, Appointment, and Setter Boundaries</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APPOINTMENT NAME</w:t>
            </w:r>
          </w:p>
          <w:p>
            <w:pPr>
              <w:spacing w:after="0"/>
            </w:pPr>
            <w:r>
              <w:rPr>
                <w:rFonts w:ascii="Calibri" w:hAnsi="Calibri"/>
                <w:b/>
                <w:color w:val="0B2545"/>
                <w:sz w:val="21"/>
              </w:rPr>
              <w:t>20-Minute Google Ads Lead-to-Estimate Assessment</w:t>
            </w:r>
          </w:p>
        </w:tc>
      </w:tr>
    </w:tbl>
    <w:p>
      <w:pPr>
        <w:spacing w:after="0"/>
      </w:pPr>
    </w:p>
    <w:p>
      <w:pPr>
        <w:pStyle w:val="Heading2"/>
      </w:pPr>
      <w:r>
        <w:t>What the prospect receives</w:t>
      </w:r>
    </w:p>
    <w:p>
      <w:pPr>
        <w:pStyle w:val="ListBullet"/>
      </w:pPr>
      <w:r>
        <w:t>A review of the current path from high-intent click or call to the next sales action.</w:t>
      </w:r>
    </w:p>
    <w:p>
      <w:pPr>
        <w:pStyle w:val="ListBullet"/>
      </w:pPr>
      <w:r>
        <w:t>A homeowner-experience view: clarity, scope capture, next-step certainty, and response path.</w:t>
      </w:r>
    </w:p>
    <w:p>
      <w:pPr>
        <w:pStyle w:val="ListBullet"/>
      </w:pPr>
      <w:r>
        <w:t>A business-control view: verification, prioritization, booking, routing, attribution, and follow-up visibility.</w:t>
      </w:r>
    </w:p>
    <w:p>
      <w:pPr>
        <w:pStyle w:val="ListBullet"/>
      </w:pPr>
      <w:r>
        <w:t>A short list of measured gaps or confirmation that the existing path is already strong.</w:t>
      </w:r>
    </w:p>
    <w:p>
      <w:pPr>
        <w:pStyle w:val="ListBullet"/>
      </w:pPr>
      <w:r>
        <w:t>Recommended next steps only after the current workflow is understood.</w:t>
      </w:r>
    </w:p>
    <w:p>
      <w:pPr>
        <w:pStyle w:val="Heading2"/>
      </w:pPr>
      <w:r>
        <w:t>Setter does / setter does not</w:t>
      </w:r>
    </w:p>
    <w:tbl>
      <w:tblPr>
        <w:tblW w:type="dxa" w:w="9360"/>
        <w:jc w:val="left"/>
        <w:tblInd w:w="120" w:type="dxa"/>
        <w:tblLayout w:type="fixed"/>
        <w:tblLook w:firstColumn="1" w:firstRow="1" w:lastColumn="0" w:lastRow="0" w:noHBand="0" w:noVBand="1" w:val="04A0"/>
      </w:tblPr>
      <w:tblGrid>
        <w:gridCol w:w="4680"/>
        <w:gridCol w:w="4680"/>
      </w:tblGrid>
      <w:tr>
        <w:trPr>
          <w:cantSplit w:val="true"/>
          <w:tblHeader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Setter does</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Setter does not</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Establish relevance from one researched observation</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Claim the contractor is wasting money or losing leads</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Ask one operational diagnostic question</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Run the full assessment on the cold call</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Explain the assessment outcome</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Demo Quotify features or architecture</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Acknowledge incumbent tools</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Say competitors cannot perform similar features</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Book the right stakeholder and confirm logistics</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8"/>
              </w:rPr>
              <w:t>Quote final pricing, discounts, guarantees, or ROI</w:t>
            </w:r>
          </w:p>
        </w:tc>
      </w:tr>
      <w:tr>
        <w:trPr>
          <w:cantSplit w:val="true"/>
        </w:trPr>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Log accurate evidence and objections</w:t>
            </w:r>
          </w:p>
        </w:tc>
        <w:tc>
          <w:tcPr>
            <w:tcW w:type="dxa" w:w="468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8"/>
              </w:rPr>
              <w:t>Argue, pressure, or continue after a do-not-call request</w:t>
            </w:r>
          </w:p>
        </w:tc>
      </w:tr>
    </w:tbl>
    <w:p>
      <w:pPr>
        <w:spacing w:after="0"/>
      </w:pPr>
    </w:p>
    <w:p>
      <w:pPr>
        <w:pStyle w:val="Heading2"/>
      </w:pPr>
      <w:r>
        <w:t>Qualified appointment standard</w:t>
      </w:r>
    </w:p>
    <w:p>
      <w:pPr>
        <w:pStyle w:val="ListBullet"/>
      </w:pPr>
      <w:r>
        <w:t>Owner, general manager, or person accountable for marketing spend and/or lead intake attends.</w:t>
      </w:r>
    </w:p>
    <w:p>
      <w:pPr>
        <w:pStyle w:val="ListBullet"/>
      </w:pPr>
      <w:r>
        <w:t>Prospect confirms they currently receive inquiries from paid or high-intent sources.</w:t>
      </w:r>
    </w:p>
    <w:p>
      <w:pPr>
        <w:pStyle w:val="ListBullet"/>
      </w:pPr>
      <w:r>
        <w:t>There is at least one unanswered question about intake, response, prioritization, booking, or source quality.</w:t>
      </w:r>
    </w:p>
    <w:p>
      <w:pPr>
        <w:pStyle w:val="ListBullet"/>
      </w:pPr>
      <w:r>
        <w:t>Prospect understands the meeting is a workflow assessment—not free Google Ads management and not a generic software demo.</w:t>
      </w:r>
    </w:p>
    <w:p>
      <w:pPr>
        <w:pStyle w:val="ListBullet"/>
      </w:pPr>
      <w:r>
        <w:t>Calendar invitation is accepted or verbally confirmed, with correct Pacific Time and best email address.</w:t>
      </w:r>
    </w:p>
    <w:p>
      <w:pPr>
        <w:pStyle w:val="Heading1"/>
      </w:pPr>
      <w:r>
        <w:t>4. Live Call Architecture</w:t>
      </w:r>
    </w:p>
    <w:p>
      <w:pPr>
        <w:pStyle w:val="ListNumber"/>
      </w:pPr>
      <w:r>
        <w:t>Identify: Say your name and Optimyzed immediately.</w:t>
      </w:r>
    </w:p>
    <w:p>
      <w:pPr>
        <w:pStyle w:val="ListNumber"/>
      </w:pPr>
      <w:r>
        <w:t>Relevance: Reference the specific sponsored-result/service/destination observation.</w:t>
      </w:r>
    </w:p>
    <w:p>
      <w:pPr>
        <w:pStyle w:val="ListNumber"/>
      </w:pPr>
      <w:r>
        <w:t>Homeowner friction: Explain the uncertainty the current path may create—without declaring failure.</w:t>
      </w:r>
    </w:p>
    <w:p>
      <w:pPr>
        <w:pStyle w:val="ListNumber"/>
      </w:pPr>
      <w:r>
        <w:t>Diagnose: Ask one operational question that the decision maker can answer.</w:t>
      </w:r>
    </w:p>
    <w:p>
      <w:pPr>
        <w:pStyle w:val="ListNumber"/>
      </w:pPr>
      <w:r>
        <w:t>Bridge: Position the assessment as a measurement exercise, not a software pitch.</w:t>
      </w:r>
    </w:p>
    <w:p>
      <w:pPr>
        <w:pStyle w:val="ListNumber"/>
      </w:pPr>
      <w:r>
        <w:t>Book: Offer two concrete times and confirm the stakeholder, email, and purpose.</w:t>
      </w:r>
    </w:p>
    <w:p>
      <w:pPr>
        <w:pStyle w:val="Heading2"/>
      </w:pPr>
      <w:r>
        <w:t>Base owner / decision-maker script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 [First Name], this is [Setter] with Optimyzed. I'll be direct and brief. We saw [Company] appearing in sponsored results for [ADU / garage conversion] work in [market], and the click path we reviewed led homeowners to [the homepage / a general contact form]. For a high-consideration project, that can leave the homeowner unsure what details to provide or what happens next. It doesn't prove you're losing leads—but it is where paid intent can become difficult to qualify and prioritize. When an inquiry comes in from those campaigns, can your team tell quickly whether the project is in-area, properly scoped, urgent, and ready for an estimate conversation?</w:t>
            </w:r>
          </w:p>
        </w:tc>
      </w:tr>
    </w:tbl>
    <w:p>
      <w:pPr>
        <w:spacing w:after="0"/>
      </w:pPr>
    </w:p>
    <w:p>
      <w:pPr>
        <w:pStyle w:val="Heading3"/>
      </w:pPr>
      <w:r>
        <w:t>If the answer reveals uncertainty</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That's the reason for my call. We run a 20-minute Google Ads Lead-to-Estimate Assessment for remodelers. We map the current click-to-response path and show where verification, scope, booking, routing, or follow-up visibility may be weak. It isn't a software demo, and if the path is already strong, we'll say so. Would Tuesday at 10:30 or Wednesday at 2:00 Pacific be better?</w:t>
            </w:r>
          </w:p>
        </w:tc>
      </w:tr>
    </w:tbl>
    <w:p>
      <w:pPr>
        <w:spacing w:after="0"/>
      </w:pPr>
    </w:p>
    <w:p>
      <w:pPr>
        <w:pStyle w:val="Heading3"/>
      </w:pPr>
      <w:r>
        <w:t>If the answer is confident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Good—that may mean your operation is stronger than the outside path suggests. The useful question is whether the same control holds after hours and whether you can see which sources produce booked estimates, not only calls or forms. That's exactly what the assessment verifies. Would [time A] or [time B] be easier?</w:t>
            </w:r>
          </w:p>
        </w:tc>
      </w:tr>
    </w:tbl>
    <w:p>
      <w:pPr>
        <w:spacing w:after="0"/>
      </w:pPr>
    </w:p>
    <w:p>
      <w:pPr>
        <w:pStyle w:val="Heading2"/>
      </w:pPr>
      <w:r>
        <w:t>Script branches by observed destination</w:t>
      </w:r>
    </w:p>
    <w:p>
      <w:pPr>
        <w:keepNext/>
        <w:spacing w:after="40"/>
      </w:pPr>
      <w:r>
        <w:rPr>
          <w:rFonts w:ascii="Calibri" w:hAnsi="Calibri"/>
          <w:b/>
          <w:color w:val="2E74B5"/>
          <w:sz w:val="18"/>
        </w:rPr>
        <w:t>Homepage destination</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We saw the sponsored result route to the main homepage. A homeowner with a specific ADU or garage-conversion question then has to find the right next step. How does your team make sure that high-intent visitor becomes a scoped estimate request rather than a general inquiry?</w:t>
            </w:r>
          </w:p>
        </w:tc>
      </w:tr>
    </w:tbl>
    <w:p>
      <w:pPr>
        <w:spacing w:after="0"/>
      </w:pPr>
    </w:p>
    <w:p>
      <w:pPr>
        <w:keepNext/>
        <w:spacing w:after="40"/>
      </w:pPr>
      <w:r>
        <w:rPr>
          <w:rFonts w:ascii="Calibri" w:hAnsi="Calibri"/>
          <w:b/>
          <w:color w:val="2E74B5"/>
          <w:sz w:val="18"/>
        </w:rPr>
        <w:t>Generic contact form</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The contact form collects basic details, but from the outside it doesn't appear to guide the homeowner through property fit, project scope, timing, or the next step. What happens after that form reaches your team, and how do you decide who gets called first?</w:t>
            </w:r>
          </w:p>
        </w:tc>
      </w:tr>
    </w:tbl>
    <w:p>
      <w:pPr>
        <w:spacing w:after="0"/>
      </w:pPr>
    </w:p>
    <w:p>
      <w:pPr>
        <w:keepNext/>
        <w:spacing w:after="40"/>
      </w:pPr>
      <w:r>
        <w:rPr>
          <w:rFonts w:ascii="Calibri" w:hAnsi="Calibri"/>
          <w:b/>
          <w:color w:val="2E74B5"/>
          <w:sz w:val="18"/>
        </w:rPr>
        <w:t>Mature or competitor-powered path</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Your intake path looks more developed than most we review. The question may not be capture; it may be whether calls, forms, booking, source data, and final outcomes are connected well enough to improve the process. Who owns that workflow today?</w:t>
            </w:r>
          </w:p>
        </w:tc>
      </w:tr>
    </w:tbl>
    <w:p>
      <w:pPr>
        <w:spacing w:after="0"/>
      </w:pPr>
    </w:p>
    <w:p>
      <w:pPr>
        <w:keepNext/>
        <w:spacing w:after="40"/>
      </w:pPr>
      <w:r>
        <w:rPr>
          <w:rFonts w:ascii="Calibri" w:hAnsi="Calibri"/>
          <w:b/>
          <w:color w:val="2E74B5"/>
          <w:sz w:val="18"/>
        </w:rPr>
        <w:t>Call-focused campaign</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I don't want to assume the website is the main path. When a homeowner calls directly from an ad, what information is captured before the estimate is scheduled, and how do you use the result of those calls to improve the intake script?</w:t>
            </w:r>
          </w:p>
        </w:tc>
      </w:tr>
    </w:tbl>
    <w:p>
      <w:pPr>
        <w:spacing w:after="0"/>
      </w:pPr>
    </w:p>
    <w:p>
      <w:pPr>
        <w:pStyle w:val="Heading2"/>
      </w:pPr>
      <w:r>
        <w:t>Gatekeeper scripts</w:t>
      </w:r>
    </w:p>
    <w:p>
      <w:pPr>
        <w:keepNext/>
        <w:spacing w:after="40"/>
      </w:pPr>
      <w:r>
        <w:rPr>
          <w:rFonts w:ascii="Calibri" w:hAnsi="Calibri"/>
          <w:b/>
          <w:color w:val="2E74B5"/>
          <w:sz w:val="18"/>
        </w:rPr>
        <w:t>Routing request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 this is [Setter] with Optimyzed. I'm calling about the homeowner intake path behind [Company]'s sponsored [ADU / garage-conversion] visibility. I need the person who owns Google Ads lead handling or estimate-booking workflow. Is that [Owner Name], or does someone else manage it?</w:t>
            </w:r>
          </w:p>
        </w:tc>
      </w:tr>
    </w:tbl>
    <w:p>
      <w:pPr>
        <w:spacing w:after="0"/>
      </w:pPr>
    </w:p>
    <w:p>
      <w:pPr>
        <w:keepNext/>
        <w:spacing w:after="40"/>
      </w:pPr>
      <w:r>
        <w:rPr>
          <w:rFonts w:ascii="Calibri" w:hAnsi="Calibri"/>
          <w:b/>
          <w:color w:val="2E74B5"/>
          <w:sz w:val="18"/>
        </w:rPr>
        <w:t>“What is this about?”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It isn't an advertising sales call. We reviewed the post-click path for a high-value service and want to verify how those inquiries are qualified and booked. The right person is usually the owner, general manager, or whoever owns marketing-to-estimate conversion.</w:t>
            </w:r>
          </w:p>
        </w:tc>
      </w:tr>
    </w:tbl>
    <w:p>
      <w:pPr>
        <w:spacing w:after="0"/>
      </w:pPr>
    </w:p>
    <w:p>
      <w:pPr>
        <w:keepNext/>
        <w:spacing w:after="40"/>
      </w:pPr>
      <w:r>
        <w:rPr>
          <w:rFonts w:ascii="Calibri" w:hAnsi="Calibri"/>
          <w:b/>
          <w:color w:val="2E74B5"/>
          <w:sz w:val="18"/>
        </w:rPr>
        <w:t>“Send information” from gatekeeper</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Absolutely. What is the best email for [Name]? I'll send a two-paragraph note with the specific observation. What day is usually least disruptive for a 20-minute review?</w:t>
            </w:r>
          </w:p>
        </w:tc>
      </w:tr>
    </w:tbl>
    <w:p>
      <w:pPr>
        <w:spacing w:after="0"/>
      </w:pPr>
    </w:p>
    <w:p>
      <w:pPr>
        <w:pStyle w:val="Heading2"/>
      </w:pPr>
      <w:r>
        <w:t>Voicemail</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 [First Name], [Setter] with Optimyzed at [callback number]. We reviewed the homeowner path behind your sponsored [ADU / garage-conversion] visibility in [market]. I have one specific question about what happens between the click and a properly scoped, booked estimate. This is not a lead-generation pitch. Again, [Setter] at [number]. I'll send the observation by email as well.</w:t>
            </w:r>
          </w:p>
        </w:tc>
      </w:tr>
    </w:tbl>
    <w:p>
      <w:pPr>
        <w:spacing w:after="0"/>
      </w:pPr>
    </w:p>
    <w:p>
      <w:pPr>
        <w:pStyle w:val="Heading2"/>
      </w:pPr>
      <w:r>
        <w:t>One-question diagnostic bank</w:t>
      </w:r>
    </w:p>
    <w:p>
      <w:pPr>
        <w:pStyle w:val="ListBullet"/>
      </w:pPr>
      <w:r>
        <w:t>When an ADU inquiry arrives, how quickly can your team tell whether the property, location, scope, timing, and budget fit your estimate criteria?</w:t>
      </w:r>
    </w:p>
    <w:p>
      <w:pPr>
        <w:pStyle w:val="ListBullet"/>
      </w:pPr>
      <w:r>
        <w:t>Can a qualified homeowner secure the next step immediately, or must every inquiry wait for a manual callback?</w:t>
      </w:r>
    </w:p>
    <w:p>
      <w:pPr>
        <w:pStyle w:val="ListBullet"/>
      </w:pPr>
      <w:r>
        <w:t>When several inquiries arrive, what tells your team which homeowner deserves the first call?</w:t>
      </w:r>
    </w:p>
    <w:p>
      <w:pPr>
        <w:pStyle w:val="ListBullet"/>
      </w:pPr>
      <w:r>
        <w:t>Do you see which campaign produces booked estimates and viable projects—not only forms, calls, or raw leads?</w:t>
      </w:r>
    </w:p>
    <w:p>
      <w:pPr>
        <w:pStyle w:val="ListBullet"/>
      </w:pPr>
      <w:r>
        <w:t>What happens to an inquiry that arrives after hours or while the team is on jobsites?</w:t>
      </w:r>
    </w:p>
    <w:p>
      <w:pPr>
        <w:pStyle w:val="ListBullet"/>
      </w:pPr>
      <w:r>
        <w:t>When an inquiry does not book, can you tell whether the issue was lead quality, response time, scope mismatch, pricing expectation, or follow-up?</w:t>
      </w:r>
    </w:p>
    <w:p>
      <w:pPr>
        <w:pStyle w:val="ListBullet"/>
      </w:pPr>
      <w:r>
        <w:t>Who reviews call and form outcomes and changes the questions, scripts, routing, or campaign feedback as a result?</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B8860B"/>
              <w:start w:val="single" w:sz="8" w:space="0" w:color="B8860B"/>
              <w:bottom w:val="single" w:sz="8" w:space="0" w:color="B8860B"/>
              <w:end w:val="single" w:sz="8" w:space="0" w:color="B8860B"/>
              <w:insideH w:val="single" w:sz="8" w:space="0" w:color="B8860B"/>
              <w:insideV w:val="single" w:sz="8" w:space="0" w:color="B8860B"/>
            </w:tcBorders>
            <w:shd w:fill="FFF8E1" w:val="clear"/>
            <w:tcMar>
              <w:top w:w="80" w:type="dxa"/>
              <w:start w:w="120" w:type="dxa"/>
              <w:bottom w:w="80" w:type="dxa"/>
              <w:end w:w="120" w:type="dxa"/>
            </w:tcMar>
            <w:vAlign w:val="top"/>
          </w:tcPr>
          <w:p>
            <w:pPr>
              <w:spacing w:after="40"/>
            </w:pPr>
            <w:r>
              <w:rPr>
                <w:rFonts w:ascii="Calibri" w:hAnsi="Calibri"/>
                <w:b/>
                <w:color w:val="B8860B"/>
                <w:sz w:val="18"/>
              </w:rPr>
              <w:t>QUESTION DISCIPLINE</w:t>
            </w:r>
          </w:p>
          <w:p>
            <w:pPr>
              <w:spacing w:after="0"/>
            </w:pPr>
            <w:r>
              <w:rPr>
                <w:rFonts w:ascii="Calibri" w:hAnsi="Calibri"/>
                <w:b/>
                <w:color w:val="0B2545"/>
                <w:sz w:val="21"/>
              </w:rPr>
              <w:t>Ask one question, listen, then bridge. Two questions are acceptable only when the first answer is vague. Three questions turns the cold call into an unpaid discovery session.</w:t>
            </w:r>
          </w:p>
        </w:tc>
      </w:tr>
    </w:tbl>
    <w:p>
      <w:pPr>
        <w:spacing w:after="0"/>
      </w:pPr>
    </w:p>
    <w:p>
      <w:pPr>
        <w:pStyle w:val="Heading1"/>
      </w:pPr>
      <w:r>
        <w:t>5. Appointment Booking and Handoff SOP</w:t>
      </w:r>
    </w:p>
    <w:p>
      <w:pPr>
        <w:pStyle w:val="Heading2"/>
      </w:pPr>
      <w:r>
        <w:t>Two-option close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Let's look at the actual path instead of debating it on a cold call. I can have the assessment prepared for Tuesday at 10:30 or Wednesday at 2:00 Pacific. Which works better?</w:t>
            </w:r>
          </w:p>
        </w:tc>
      </w:tr>
    </w:tbl>
    <w:p>
      <w:pPr>
        <w:spacing w:after="0"/>
      </w:pPr>
    </w:p>
    <w:p>
      <w:pPr>
        <w:pStyle w:val="Heading2"/>
      </w:pPr>
      <w:r>
        <w:t>Before ending the call</w:t>
      </w:r>
    </w:p>
    <w:p>
      <w:pPr>
        <w:pStyle w:val="ListNumber"/>
      </w:pPr>
      <w:r>
        <w:t>Confirm the attendee is the owner or owns marketing/lead intake. If not, ask who should join.</w:t>
      </w:r>
    </w:p>
    <w:p>
      <w:pPr>
        <w:pStyle w:val="ListNumber"/>
      </w:pPr>
      <w:r>
        <w:t>Repeat the date, time, duration, and Pacific Time.</w:t>
      </w:r>
    </w:p>
    <w:p>
      <w:pPr>
        <w:pStyle w:val="ListNumber"/>
      </w:pPr>
      <w:r>
        <w:t>Confirm the email address and direct callback number.</w:t>
      </w:r>
    </w:p>
    <w:p>
      <w:pPr>
        <w:pStyle w:val="ListNumber"/>
      </w:pPr>
      <w:r>
        <w:t>Restate the meeting outcome in one sentence.</w:t>
      </w:r>
    </w:p>
    <w:p>
      <w:pPr>
        <w:pStyle w:val="ListNumber"/>
      </w:pPr>
      <w:r>
        <w:t>Ask the prospect to accept the calendar invitation when it arrives.</w:t>
      </w:r>
    </w:p>
    <w:p>
      <w:pPr>
        <w:pStyle w:val="ListNumber"/>
      </w:pPr>
      <w:r>
        <w:t>Log the observed path, diagnostic answer, objection, incumbent stack, and exact reason they agreed.</w:t>
      </w:r>
    </w:p>
    <w:p>
      <w:pPr>
        <w:pStyle w:val="Heading2"/>
      </w:pPr>
      <w:r>
        <w:t>Calendar invitation</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Title: [Company] — Google Ads Lead-to-Estimate Assessment</w:t>
              <w:br/>
              <w:br/>
              <w:t>Purpose: Review what happens from a high-intent ADU / garage-conversion click or call to a properly scoped and booked estimate opportunity.</w:t>
              <w:br/>
              <w:br/>
              <w:t>We will cover:</w:t>
              <w:br/>
              <w:t>1) current homeowner path; 2) qualification and response; 3) booking, routing, and source visibility; 4) recommended next step if a measurable gap exists.</w:t>
              <w:br/>
              <w:br/>
              <w:t>Duration: 20 minutes. This is a workflow assessment, not a generic software demo.</w:t>
            </w:r>
          </w:p>
        </w:tc>
      </w:tr>
    </w:tbl>
    <w:p>
      <w:pPr>
        <w:spacing w:after="0"/>
      </w:pPr>
    </w:p>
    <w:p>
      <w:pPr>
        <w:pStyle w:val="Heading2"/>
      </w:pPr>
      <w:r>
        <w:t>Booking confirmation email</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Subject: Confirmed — [Company] lead-to-estimate assessment</w:t>
              <w:br/>
              <w:br/>
              <w:t>Hi [First Name],</w:t>
              <w:br/>
              <w:br/>
              <w:t>Confirmed for [day, date, time PT]. We will review the path from your high-intent [ADU / garage-conversion] inquiries to a properly scoped, prioritized, and booked estimate opportunity.</w:t>
              <w:br/>
              <w:br/>
              <w:t>We will bring the outside-in observation. Please bring whoever owns Google Ads lead handling or estimate booking. If your current path is already strong, we will say so; if a measurable gap exists, we will show where it is and the next step.</w:t>
              <w:br/>
              <w:br/>
              <w:t>[Meeting link]</w:t>
              <w:br/>
              <w:br/>
              <w:t>Regards,</w:t>
              <w:br/>
              <w:t>[Setter]</w:t>
              <w:br/>
              <w:t>Optimyzed | [phone] | [physical postal address]</w:t>
              <w:br/>
              <w:t>To stop sales emails from us, reply “unsubscribe.”</w:t>
            </w:r>
          </w:p>
        </w:tc>
      </w:tr>
    </w:tbl>
    <w:p>
      <w:pPr>
        <w:spacing w:after="0"/>
      </w:pPr>
    </w:p>
    <w:p>
      <w:pPr>
        <w:pStyle w:val="Heading2"/>
      </w:pPr>
      <w:r>
        <w:t>Reminder rhythm</w:t>
      </w:r>
    </w:p>
    <w:tbl>
      <w:tblPr>
        <w:tblW w:type="dxa" w:w="9360"/>
        <w:jc w:val="left"/>
        <w:tblInd w:w="120" w:type="dxa"/>
        <w:tblLayout w:type="fixed"/>
        <w:tblLook w:firstColumn="1" w:firstRow="1" w:lastColumn="0" w:lastRow="0" w:noHBand="0" w:noVBand="1" w:val="04A0"/>
      </w:tblPr>
      <w:tblGrid>
        <w:gridCol w:w="1450"/>
        <w:gridCol w:w="2050"/>
        <w:gridCol w:w="5860"/>
      </w:tblGrid>
      <w:tr>
        <w:trPr>
          <w:cantSplit w:val="true"/>
          <w:tblHeader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Timing</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Action</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Message</w:t>
            </w:r>
          </w:p>
        </w:tc>
      </w:tr>
      <w:tr>
        <w:trPr>
          <w:cantSplit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Immediately</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Calendar + email</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Confirm objective, participants, Pacific Time, and meeting link.</w:t>
            </w:r>
          </w:p>
        </w:tc>
      </w:tr>
      <w:tr>
        <w:trPr>
          <w:cantSplit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1 business day before</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Email reminder</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We have the outside-in path ready. Please include the person who owns lead intake if that is not you.</w:t>
            </w:r>
          </w:p>
        </w:tc>
      </w:tr>
      <w:tr>
        <w:trPr>
          <w:cantSplit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2 hours before</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Short email</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Still good for [time]? We will keep it to 20 minutes.</w:t>
            </w:r>
          </w:p>
        </w:tc>
      </w:tr>
      <w:tr>
        <w:trPr>
          <w:cantSplit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SMS only with consent</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Optional reminder</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Use only after the prospect explicitly agrees to receive a text.</w:t>
            </w:r>
          </w:p>
        </w:tc>
      </w:tr>
      <w:tr>
        <w:trPr>
          <w:cantSplit w:val="true"/>
        </w:trPr>
        <w:tc>
          <w:tcPr>
            <w:tcW w:type="dxa" w:w="14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5 minutes late</w:t>
            </w:r>
          </w:p>
        </w:tc>
        <w:tc>
          <w:tcPr>
            <w:tcW w:type="dxa" w:w="20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Call + email</w:t>
            </w:r>
          </w:p>
        </w:tc>
        <w:tc>
          <w:tcPr>
            <w:tcW w:type="dxa" w:w="58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We are on the link. Is now still workable, or should we move it?</w:t>
            </w:r>
          </w:p>
        </w:tc>
      </w:tr>
    </w:tbl>
    <w:p>
      <w:pPr>
        <w:spacing w:after="0"/>
      </w:pPr>
    </w:p>
    <w:p>
      <w:pPr>
        <w:pStyle w:val="Heading2"/>
      </w:pPr>
      <w:r>
        <w:t>No-show recovery</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 [First Name], we had the [Company] lead-to-estimate assessment prepared for [time]. I know jobsites and homeowner issues move schedules. Should I hold [new time A] or [new time B]? If this is no longer a priority, tell me and I'll close it cleanly.</w:t>
            </w:r>
          </w:p>
        </w:tc>
      </w:tr>
    </w:tbl>
    <w:p>
      <w:pPr>
        <w:spacing w:after="0"/>
      </w:pPr>
    </w:p>
    <w:p>
      <w:pPr>
        <w:pStyle w:val="Heading1"/>
      </w:pPr>
      <w:r>
        <w:t>6. Objection Handling Playbook</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FOUR-STEP OBJECTION METHOD</w:t>
            </w:r>
          </w:p>
          <w:p>
            <w:pPr>
              <w:spacing w:after="0"/>
            </w:pPr>
            <w:r>
              <w:rPr>
                <w:rFonts w:ascii="Calibri" w:hAnsi="Calibri"/>
                <w:b/>
                <w:color w:val="0B2545"/>
                <w:sz w:val="21"/>
              </w:rPr>
              <w:t>Acknowledge without surrendering → clarify the real objection → answer only that issue → return to the assessment. Do not stack features or deliver a monologue.</w:t>
            </w:r>
          </w:p>
        </w:tc>
      </w:tr>
    </w:tbl>
    <w:p>
      <w:pPr>
        <w:spacing w:after="0"/>
      </w:pPr>
    </w:p>
    <w:p>
      <w:pPr>
        <w:pStyle w:val="Heading2"/>
      </w:pPr>
      <w:r>
        <w:t>Core objections and recommended responses</w:t>
      </w:r>
    </w:p>
    <w:p>
      <w:pPr>
        <w:pStyle w:val="Heading3"/>
      </w:pPr>
      <w:r>
        <w:t>“I'm not interested.”</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Fair. Usually that means either the intake is already controlled, or this sounds like another lead-generation pitch. We are not selling more leads. The reason I called is the specific path behind your paid [service] visibility. Is the process already giving you verified, scoped, booked estimate opportunities with source visibility?</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If yes, offer the assessment as verification once. If no or uncertain, book. If they repeat no, thank them and end.</w:t>
      </w:r>
    </w:p>
    <w:p>
      <w:pPr>
        <w:spacing w:after="120"/>
      </w:pPr>
      <w:r>
        <w:rPr>
          <w:rFonts w:ascii="Calibri" w:hAnsi="Calibri"/>
          <w:b/>
          <w:color w:val="9B1C1C"/>
          <w:sz w:val="18"/>
        </w:rPr>
        <w:t xml:space="preserve">Do not say: </w:t>
      </w:r>
      <w:r>
        <w:rPr>
          <w:rFonts w:ascii="Calibri" w:hAnsi="Calibri"/>
          <w:i/>
          <w:color w:val="5F6B76"/>
          <w:sz w:val="18"/>
        </w:rPr>
        <w:t>You don't understand what you're missing.</w:t>
      </w:r>
    </w:p>
    <w:p>
      <w:pPr>
        <w:pStyle w:val="Heading3"/>
      </w:pPr>
      <w:r>
        <w:t>“I'm busy / on a jobsite.”</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Understood. I won't run the pitch now. I called because we observed [one sentence]. Is later today at [time] or tomorrow at [time] better for a three-minute callback?</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Schedule a precise callback; do not attempt discovery.</w:t>
      </w:r>
    </w:p>
    <w:p>
      <w:pPr>
        <w:pStyle w:val="Heading3"/>
      </w:pPr>
      <w:r>
        <w:t>“Send me information.”</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I will. To keep it relevant, should the note focus on form inquiries, inbound calls, or both?</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Capture one choice, send a two-paragraph observation, then book a follow-up time.</w:t>
      </w:r>
    </w:p>
    <w:p>
      <w:pPr>
        <w:spacing w:after="120"/>
      </w:pPr>
      <w:r>
        <w:rPr>
          <w:rFonts w:ascii="Calibri" w:hAnsi="Calibri"/>
          <w:b/>
          <w:color w:val="9B1C1C"/>
          <w:sz w:val="18"/>
        </w:rPr>
        <w:t xml:space="preserve">Do not say: </w:t>
      </w:r>
      <w:r>
        <w:rPr>
          <w:rFonts w:ascii="Calibri" w:hAnsi="Calibri"/>
          <w:i/>
          <w:color w:val="5F6B76"/>
          <w:sz w:val="18"/>
        </w:rPr>
        <w:t>I'll send our brochure and follow up sometime.</w:t>
      </w:r>
    </w:p>
    <w:p>
      <w:pPr>
        <w:pStyle w:val="Heading3"/>
      </w:pPr>
      <w:r>
        <w:t>“Our ads are working fine.”</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Good. We are not evaluating whether the ads generate inquiries. The assessment looks at the next stage: how a high-intent inquiry is verified, scoped, prioritized, booked, and connected to an outcome. Strong ads make that stage more important, not less.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who owns lead intake and offer two times.</w:t>
      </w:r>
    </w:p>
    <w:p>
      <w:pPr>
        <w:pStyle w:val="Heading3"/>
      </w:pPr>
      <w:r>
        <w:t>“We don't need more leads.”</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is exactly why this may be relevant. Quotify is not a lead source. The assessment asks whether the leads you already pay for are becoming controlled estimate opportunities.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the prioritization or booked-estimate attribution question.</w:t>
      </w:r>
    </w:p>
    <w:p>
      <w:pPr>
        <w:pStyle w:val="Heading3"/>
      </w:pPr>
      <w:r>
        <w:t>“We answer quickly.”</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That's a strength. Speed is one control; the others are whether the homeowner is reachable, properly scoped, routed to the right person, booked, and tracked to an outcome. Does your current reporting show all of that?</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If yes, assess the learning loop. If uncertain, book.</w:t>
      </w:r>
    </w:p>
    <w:p>
      <w:pPr>
        <w:pStyle w:val="Heading3"/>
      </w:pPr>
      <w:r>
        <w:t>“Our website is fine.”</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This is not a website redesign conversation. A good-looking site can still route high-intent homeowners into a generic process, and a simple site can have excellent intake. We assess the workflow after intent, not the design.</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Return to the specific destination observation.</w:t>
      </w:r>
    </w:p>
    <w:p>
      <w:pPr>
        <w:pStyle w:val="Heading3"/>
      </w:pPr>
      <w:r>
        <w:t>“Our agency handles this.”</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They may be doing a strong job generating and tracking demand. This assessment is useful with the agency in the room because it examines what happens after the lead arrives and which outcomes should feed back into marketing decisions.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Invite the owner and agency/contact responsible for paid media or intake.</w:t>
      </w:r>
    </w:p>
    <w:p>
      <w:pPr>
        <w:pStyle w:val="Heading3"/>
      </w:pPr>
      <w:r>
        <w:t>“We already have a CRM.”</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Good. Quotify is not trying to replace it on the cold call. The question is what enters the CRM, how quickly, with what scope and verification, and whether the final outcome improves the intake process.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'What data enters the CRM before the first callback?' Then book.</w:t>
      </w:r>
    </w:p>
    <w:p>
      <w:pPr>
        <w:pStyle w:val="Heading3"/>
      </w:pPr>
      <w:r>
        <w:t>“We already have an AI receptionist.”</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may solve call coverage. The assessment checks whether calls and forms use the same service rules, whether high-value projects are scoped correctly, whether humans govern exceptions, and whether outcomes improve the questions, scripts, and routing over time.</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who reviews outcomes and updates the receptionist/intake logic.</w:t>
      </w:r>
    </w:p>
    <w:p>
      <w:pPr>
        <w:pStyle w:val="Heading3"/>
      </w:pPr>
      <w:r>
        <w:t>“We use ServiceTitan / Housecall Pro / Jobber.”</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Those platforms can manage calls, booking, customer records, and increasingly AI-assisted intake. We do not assume they are missing features. We assess whether your current configuration connects the paid source, project intent, qualification, booking, sales outcome, and ongoing workflow improvement for complex remodels.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what is already automated and what still depends on manual interpretation.</w:t>
      </w:r>
    </w:p>
    <w:p>
      <w:pPr>
        <w:spacing w:after="120"/>
      </w:pPr>
      <w:r>
        <w:rPr>
          <w:rFonts w:ascii="Calibri" w:hAnsi="Calibri"/>
          <w:b/>
          <w:color w:val="9B1C1C"/>
          <w:sz w:val="18"/>
        </w:rPr>
        <w:t xml:space="preserve">Do not say: </w:t>
      </w:r>
      <w:r>
        <w:rPr>
          <w:rFonts w:ascii="Calibri" w:hAnsi="Calibri"/>
          <w:i/>
          <w:color w:val="5F6B76"/>
          <w:sz w:val="18"/>
        </w:rPr>
        <w:t>They can't do what we do.</w:t>
      </w:r>
    </w:p>
    <w:p>
      <w:pPr>
        <w:pStyle w:val="Heading3"/>
      </w:pPr>
      <w:r>
        <w:t>“We use GoHighLevel.”</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HighLevel can provide forms, workflows, Voice AI, and appointment booking. The issue is not owning the tool; it is whether the prompts, rules, handoffs, exceptions, and outcome feedback are governed for your exact ADU or garage-conversion process.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who owns testing and improvement of the workflow.</w:t>
      </w:r>
    </w:p>
    <w:p>
      <w:pPr>
        <w:pStyle w:val="Heading3"/>
      </w:pPr>
      <w:r>
        <w:t>“We use WhatConverts / CallRail.”</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Those are strong tracking and conversation-intelligence tools. They can show where calls and forms came from and help qualify outcomes. The assessment asks what happens operationally before and after that data: homeowner guidance, verification, project scope, booking, routing, and changes made from the results.</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for one example of a workflow change made from the last 30 days of lead data.</w:t>
      </w:r>
    </w:p>
    <w:p>
      <w:pPr>
        <w:pStyle w:val="Heading3"/>
      </w:pPr>
      <w:r>
        <w:t>“We don't show prices online.”</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You do not need to. Complex remodeling rarely supports a reliable instant price. Intake can clarify property, scope, budget fit, timing, and next step without publishing a quote.</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Book the assessment around no-price qualification.</w:t>
      </w:r>
    </w:p>
    <w:p>
      <w:pPr>
        <w:pStyle w:val="Heading3"/>
      </w:pPr>
      <w:r>
        <w:t>“Our projects are too custom for automation.”</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Agreed—the estimate and sales judgment should remain human. The controllable part is gathering the right information, identifying fit, routing the opportunity, and preparing the human estimator.</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which pre-estimate questions are always needed.</w:t>
      </w:r>
    </w:p>
    <w:p>
      <w:pPr>
        <w:pStyle w:val="Heading3"/>
      </w:pPr>
      <w:r>
        <w:t>“AI can't sell a remodel.”</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We agree. Quotify is human-governed. AI can help capture and organize intent, but the contractor owns judgment, exceptions, estimate strategy, and the close.</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Return to the assessment of the workflow, not AI capability.</w:t>
      </w:r>
    </w:p>
    <w:p>
      <w:pPr>
        <w:pStyle w:val="Heading3"/>
      </w:pPr>
      <w:r>
        <w:t>“One project pays for our ad spend.”</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may be true, but it does not show whether the intake path is efficient. High job value increases the cost of mishandling a serious inquiry and makes accurate qualification more valuable.</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Ask how many viable estimate opportunities are not booked or not followed through.</w:t>
      </w:r>
    </w:p>
    <w:p>
      <w:pPr>
        <w:pStyle w:val="Heading3"/>
      </w:pPr>
      <w:r>
        <w:t>“How much does it cost?”</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The implementation depends on channels, workflow complexity, current systems, and what the assessment finds. The setter should not price an unseen workflow. The first question is whether there is a measurable gap worth fixing.</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Book the assessment. If pressed, state that the specialist will recommend one scoped option after diagnosis.</w:t>
      </w:r>
    </w:p>
    <w:p>
      <w:pPr>
        <w:spacing w:after="120"/>
      </w:pPr>
      <w:r>
        <w:rPr>
          <w:rFonts w:ascii="Calibri" w:hAnsi="Calibri"/>
          <w:b/>
          <w:color w:val="9B1C1C"/>
          <w:sz w:val="18"/>
        </w:rPr>
        <w:t xml:space="preserve">Do not say: </w:t>
      </w:r>
      <w:r>
        <w:rPr>
          <w:rFonts w:ascii="Calibri" w:hAnsi="Calibri"/>
          <w:i/>
          <w:color w:val="5F6B76"/>
          <w:sz w:val="18"/>
        </w:rPr>
        <w:t>It starts at [price] and will pay for itself.</w:t>
      </w:r>
    </w:p>
    <w:p>
      <w:pPr>
        <w:pStyle w:val="Heading3"/>
      </w:pPr>
      <w:r>
        <w:t>“We built our own process.”</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may be the best answer. The assessment is still useful as an outside stress test across homeowner clarity, response, qualification, booking, source visibility, and the improvement loop.</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Offer verification, not replacement.</w:t>
      </w:r>
    </w:p>
    <w:p>
      <w:pPr>
        <w:pStyle w:val="Heading3"/>
      </w:pPr>
      <w:r>
        <w:t>“How did you get my information?”</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We used public business sources: the California contractor-license record, publicly visible sponsored search results, your company website, and business-published contact details. We do not need access to your private ad account to make the outside observation.</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Offer to specify the source. Log any correction or removal request immediately.</w:t>
      </w:r>
    </w:p>
    <w:p>
      <w:pPr>
        <w:pStyle w:val="Heading3"/>
      </w:pPr>
      <w:r>
        <w:t>“Did you click our ad or submit that form?”</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Our current policy is not to click paid ads or submit test inquiries without permission. If our research team made a prior test submission to your business, I will be transparent about it and have it removed from future practice. The observation I'm discussing now is the publicly visible intake path.</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Do not evade. Apologize if prior testing created work, flag the record, and escalate to the campaign owner.</w:t>
      </w:r>
    </w:p>
    <w:p>
      <w:pPr>
        <w:spacing w:after="120"/>
      </w:pPr>
      <w:r>
        <w:rPr>
          <w:rFonts w:ascii="Calibri" w:hAnsi="Calibri"/>
          <w:b/>
          <w:color w:val="9B1C1C"/>
          <w:sz w:val="18"/>
        </w:rPr>
        <w:t xml:space="preserve">Do not say: </w:t>
      </w:r>
      <w:r>
        <w:rPr>
          <w:rFonts w:ascii="Calibri" w:hAnsi="Calibri"/>
          <w:i/>
          <w:color w:val="5F6B76"/>
          <w:sz w:val="18"/>
        </w:rPr>
        <w:t>We were pretending to be a homeowner to prove your team is slow.</w:t>
      </w:r>
    </w:p>
    <w:p>
      <w:pPr>
        <w:pStyle w:val="Heading3"/>
      </w:pPr>
      <w:r>
        <w:t>“This sounds like you're criticizing our business.”</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isn't the intent, and an outside view cannot prove what happens internally. We are identifying a point to verify. If the workflow is strong, the assessment should confirm it.</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Lower tension and invite verification.</w:t>
      </w:r>
    </w:p>
    <w:p>
      <w:pPr>
        <w:pStyle w:val="Heading3"/>
      </w:pPr>
      <w:r>
        <w:t>“Call me later.”</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Certainly. What will be different then—timing, budget, or who needs to be involved?</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Set a date tied to the reason. Avoid vague 'next quarter' tasks.</w:t>
      </w:r>
    </w:p>
    <w:p>
      <w:pPr>
        <w:pStyle w:val="Heading3"/>
      </w:pPr>
      <w:r>
        <w:t>“Remove me / don't call again.”</w:t>
      </w:r>
    </w:p>
    <w:p>
      <w:pPr>
        <w:keepNext/>
        <w:spacing w:after="40"/>
      </w:pPr>
      <w:r>
        <w:rPr>
          <w:rFonts w:ascii="Calibri" w:hAnsi="Calibri"/>
          <w:b/>
          <w:color w:val="2E74B5"/>
          <w:sz w:val="18"/>
        </w:rPr>
        <w:t>Recommended response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Understood. I will mark the company and number as do not call now. Thank you for telling me.</w:t>
            </w:r>
          </w:p>
        </w:tc>
      </w:tr>
    </w:tbl>
    <w:p>
      <w:pPr>
        <w:spacing w:after="0"/>
      </w:pPr>
    </w:p>
    <w:p>
      <w:pPr>
        <w:spacing w:after="80"/>
      </w:pPr>
      <w:r>
        <w:rPr>
          <w:rFonts w:ascii="Calibri" w:hAnsi="Calibri"/>
          <w:b/>
          <w:color w:val="1F5D42"/>
          <w:sz w:val="19"/>
        </w:rPr>
        <w:t xml:space="preserve">Next move: </w:t>
      </w:r>
      <w:r>
        <w:rPr>
          <w:rFonts w:ascii="Calibri" w:hAnsi="Calibri"/>
          <w:color w:val="111111"/>
          <w:sz w:val="19"/>
        </w:rPr>
        <w:t>End immediately; suppress phone and related outreach according to policy. No save attempt.</w:t>
      </w:r>
    </w:p>
    <w:p>
      <w:pPr>
        <w:spacing w:after="120"/>
      </w:pPr>
      <w:r>
        <w:rPr>
          <w:rFonts w:ascii="Calibri" w:hAnsi="Calibri"/>
          <w:b/>
          <w:color w:val="9B1C1C"/>
          <w:sz w:val="18"/>
        </w:rPr>
        <w:t xml:space="preserve">Do not say: </w:t>
      </w:r>
      <w:r>
        <w:rPr>
          <w:rFonts w:ascii="Calibri" w:hAnsi="Calibri"/>
          <w:i/>
          <w:color w:val="5F6B76"/>
          <w:sz w:val="18"/>
        </w:rPr>
        <w:t>Can I ask why before I remove you?</w:t>
      </w:r>
    </w:p>
    <w:p>
      <w:pPr>
        <w:pStyle w:val="Heading1"/>
      </w:pPr>
      <w:r>
        <w:t>7. Competitor and Existing-Stack Battlecards</w:t>
      </w:r>
    </w:p>
    <w:p>
      <w:r>
        <w:rPr>
          <w:b/>
        </w:rPr>
        <w:t xml:space="preserve">Competitive truth: </w:t>
      </w:r>
      <w:r>
        <w:t>Quotify cannot credibly claim exclusive ownership of AI answering, appointment booking, lead qualification, attribution, or analytics. ServiceTitan, Housecall Pro, Jobber, HighLevel, WhatConverts, and CallRail all provide parts of this landscape. The sellable difference must be the installed, service-specific, human-governed workflow and the disciplined improvement loop—not a feature monopoly.</w:t>
      </w:r>
    </w:p>
    <w:tbl>
      <w:tblPr>
        <w:tblW w:type="dxa" w:w="9360"/>
        <w:jc w:val="left"/>
        <w:tblInd w:w="120" w:type="dxa"/>
        <w:tblLayout w:type="fixed"/>
        <w:tblLook w:firstColumn="1" w:firstRow="1" w:lastColumn="0" w:lastRow="0" w:noHBand="0" w:noVBand="1" w:val="04A0"/>
      </w:tblPr>
      <w:tblGrid>
        <w:gridCol w:w="1700"/>
        <w:gridCol w:w="3350"/>
        <w:gridCol w:w="4310"/>
      </w:tblGrid>
      <w:tr>
        <w:trPr>
          <w:cantSplit w:val="true"/>
          <w:tblHeader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Existing stack</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Acknowledge</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Assessment gap to test</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ServiceTitan</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Native Virtual Agent can gather information and book using ServiceTitan data.</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Does the remodel-specific intent path span calls/forms, complex scope, exceptions, source-to-outcome, and governed improvement?</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Housecall Pro</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CSR AI can answer calls/chats, use business data, log summaries, and book depending on configuration.</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Is high-value remodeling qualification deep enough, and do outcomes change scripts, questions, and routing?</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Jobber</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AI Receptionist can answer calls/texts, capture leads, and book jobs.</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How are complex-project fit, estimate readiness, cross-channel inputs, human exceptions, and marketing feedback handled?</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HighLevel</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Voice/Conversation AI supports appointment booking, routing, workflows, and testing tools.</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Who designs, tests, governs, and improves the contractor-specific system—and how are sales outcomes fed back?</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WhatConverts</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Tracks, qualifies, values, and attributes calls/forms and lead quality.</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Does the system also guide the homeowner, verify/contact, route, book, and operationalize the learning?</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CallRail</w:t>
            </w:r>
          </w:p>
        </w:tc>
        <w:tc>
          <w:tcPr>
            <w:tcW w:type="dxa" w:w="33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Tracks calls/forms and adds transcription, summaries, conversation intelligence, and engagement features.</w:t>
            </w:r>
          </w:p>
        </w:tc>
        <w:tc>
          <w:tcPr>
            <w:tcW w:type="dxa" w:w="43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How are insights converted into governed changes across the full intake workflow?</w:t>
            </w:r>
          </w:p>
        </w:tc>
      </w:tr>
    </w:tbl>
    <w:p>
      <w:pPr>
        <w:spacing w:after="0"/>
      </w:pPr>
    </w:p>
    <w:p>
      <w:pPr>
        <w:pStyle w:val="Heading2"/>
      </w:pPr>
      <w:r>
        <w:t>Competitor-safe response formula</w:t>
      </w:r>
    </w:p>
    <w:p>
      <w:pPr>
        <w:pStyle w:val="ListNumber"/>
      </w:pPr>
      <w:r>
        <w:t>Acknowledge the platform and one relevant capability.</w:t>
      </w:r>
    </w:p>
    <w:p>
      <w:pPr>
        <w:pStyle w:val="ListNumber"/>
      </w:pPr>
      <w:r>
        <w:t>Do not challenge the buyer's decision or claim a feature gap you have not verified.</w:t>
      </w:r>
    </w:p>
    <w:p>
      <w:pPr>
        <w:pStyle w:val="ListNumber"/>
      </w:pPr>
      <w:r>
        <w:t>Shift from 'Do you have the feature?' to 'How is it currently configured and governed?'</w:t>
      </w:r>
    </w:p>
    <w:p>
      <w:pPr>
        <w:pStyle w:val="ListNumber"/>
      </w:pPr>
      <w:r>
        <w:t>Ask for the last measurable workflow improvement created from outcomes.</w:t>
      </w:r>
    </w:p>
    <w:p>
      <w:pPr>
        <w:pStyle w:val="ListNumber"/>
      </w:pPr>
      <w:r>
        <w:t>Invite the current vendor, agency, or operations owner into the assessment if appropriate.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That platform can already do meaningful work in this area. We would not recommend replacing it without evidence. The assessment checks whether your current configuration covers the complete lead-to-estimate workflow for complex remodels and whether results are actually changing the system. If it already does, we will confirm that.</w:t>
            </w:r>
          </w:p>
        </w:tc>
      </w:tr>
    </w:tbl>
    <w:p>
      <w:pPr>
        <w:spacing w:after="0"/>
      </w:pPr>
    </w:p>
    <w:p>
      <w:pPr>
        <w:pStyle w:val="Heading1"/>
      </w:pPr>
      <w:r>
        <w:t>8. Multi-Channel Cadence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CADENCE PRINCIPLE</w:t>
            </w:r>
          </w:p>
          <w:p>
            <w:pPr>
              <w:spacing w:after="0"/>
            </w:pPr>
            <w:r>
              <w:rPr>
                <w:rFonts w:ascii="Calibri" w:hAnsi="Calibri"/>
                <w:b/>
                <w:color w:val="0B2545"/>
                <w:sz w:val="21"/>
              </w:rPr>
              <w:t>Eight purposeful touches over 12 business days. Every touch must add context or make the next action easier. Repetition without new value is not persistence; it is noise.</w:t>
            </w:r>
          </w:p>
        </w:tc>
      </w:tr>
    </w:tbl>
    <w:p>
      <w:pPr>
        <w:spacing w:after="0"/>
      </w:pPr>
    </w:p>
    <w:tbl>
      <w:tblPr>
        <w:tblW w:type="dxa" w:w="9360"/>
        <w:jc w:val="left"/>
        <w:tblInd w:w="120" w:type="dxa"/>
        <w:tblLayout w:type="fixed"/>
        <w:tblLook w:firstColumn="1" w:firstRow="1" w:lastColumn="0" w:lastRow="0" w:noHBand="0" w:noVBand="1" w:val="04A0"/>
      </w:tblPr>
      <w:tblGrid>
        <w:gridCol w:w="760"/>
        <w:gridCol w:w="1200"/>
        <w:gridCol w:w="4300"/>
        <w:gridCol w:w="3100"/>
      </w:tblGrid>
      <w:tr>
        <w:trPr>
          <w:cantSplit w:val="true"/>
          <w:tblHeader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Day</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Channel</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Action</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Objective</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0</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Research</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Complete research card; verify local time, decision maker, and compliance fields.</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Earn a specific reason to call.</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1 AM</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Call</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Base call; no voicemail on first failed attempt.</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Reach decision maker live.</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1</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Email 1</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Send the exact outside observation.</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Create recognition before next call.</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2 PM</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Call + VM</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Use alternate time block; leave short voicemail.</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Reference email and one question.</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4</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Email 2</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Clarify this is not lead generation or a website redesign.</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Correct category confusion.</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6 AM</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Call</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Use a different diagnostic question tied to the label.</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Create a conversation, not a repeat pitch.</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8</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LinkedIn</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Connect or send a short business note if identity is verified.</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Add a low-pressure channel.</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10 PM</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Call</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Competitor-aware or after-hours branch as relevant.</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Test a second problem frame.</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12</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Email 3 + final call</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Close the loop and invite a clear yes/no.</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Obtain decision or end active cadence.</w:t>
            </w:r>
          </w:p>
        </w:tc>
      </w:tr>
      <w:tr>
        <w:trPr>
          <w:cantSplit w:val="true"/>
        </w:trPr>
        <w:tc>
          <w:tcPr>
            <w:tcW w:type="dxa" w:w="7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30/60/90</w:t>
            </w:r>
          </w:p>
        </w:tc>
        <w:tc>
          <w:tcPr>
            <w:tcW w:type="dxa" w:w="1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Nurture</w:t>
            </w:r>
          </w:p>
        </w:tc>
        <w:tc>
          <w:tcPr>
            <w:tcW w:type="dxa" w:w="43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Only if not opted out; send a genuinely new contractor intake insight or proof point.</w:t>
            </w:r>
          </w:p>
        </w:tc>
        <w:tc>
          <w:tcPr>
            <w:tcW w:type="dxa" w:w="31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Reopen when context changes.</w:t>
            </w:r>
          </w:p>
        </w:tc>
      </w:tr>
    </w:tbl>
    <w:p>
      <w:pPr>
        <w:spacing w:after="0"/>
      </w:pPr>
    </w:p>
    <w:p>
      <w:pPr>
        <w:pStyle w:val="Heading2"/>
      </w:pPr>
      <w:r>
        <w:t>Recommended Pacific Time call blocks</w:t>
      </w:r>
    </w:p>
    <w:p>
      <w:pPr>
        <w:pStyle w:val="ListBullet"/>
      </w:pPr>
      <w:r>
        <w:t>Primary: 8:30–10:30 a.m. PT. Test early-owner availability without calling at the legal boundary.</w:t>
      </w:r>
    </w:p>
    <w:p>
      <w:pPr>
        <w:pStyle w:val="ListBullet"/>
      </w:pPr>
      <w:r>
        <w:t>Secondary: 2:30–4:30 p.m. PT. Often less disruptive than midday project coordination.</w:t>
      </w:r>
    </w:p>
    <w:p>
      <w:pPr>
        <w:pStyle w:val="ListBullet"/>
      </w:pPr>
      <w:r>
        <w:t>Use no more than one attempt to the same number on a business day. Rotate time blocks.</w:t>
      </w:r>
    </w:p>
    <w:p>
      <w:pPr>
        <w:pStyle w:val="ListBullet"/>
      </w:pPr>
      <w:r>
        <w:t>Do not cold-text or use WhatsApp. Use SMS only after explicit permission for scheduling or reminders.</w:t>
      </w:r>
    </w:p>
    <w:p>
      <w:pPr>
        <w:pStyle w:val="Heading2"/>
      </w:pPr>
      <w:r>
        <w:t>Cold email 1 — specific observation</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Subject: [Company]'s [ADU] inquiry path</w:t>
              <w:br/>
              <w:br/>
              <w:t>Hi [First Name],</w:t>
              <w:br/>
              <w:br/>
              <w:t>We saw [Company] appearing in sponsored results for [service] in [market]. The public path led to [homepage / general form]. For a complex project, that can leave a homeowner unsure what to provide and what happens next.</w:t>
              <w:br/>
              <w:br/>
              <w:t>That does not prove leads are being lost. It is a point worth checking: how quickly the inquiry becomes a properly scoped, prioritized, and booked estimate opportunity.</w:t>
              <w:br/>
              <w:br/>
              <w:t>We run a 20-minute Google Ads Lead-to-Estimate Assessment for remodelers. Worth reviewing Tuesday at 10:30 or Wednesday at 2:00 PT?</w:t>
              <w:br/>
              <w:br/>
              <w:t>[Signature with physical postal address]</w:t>
              <w:br/>
              <w:t>This is a commercial email. Reply “unsubscribe” to stop future marketing email.</w:t>
            </w:r>
          </w:p>
        </w:tc>
      </w:tr>
    </w:tbl>
    <w:p>
      <w:pPr>
        <w:spacing w:after="0"/>
      </w:pPr>
    </w:p>
    <w:p>
      <w:pPr>
        <w:pStyle w:val="Heading2"/>
      </w:pPr>
      <w:r>
        <w:t>Cold email 2 — category correction</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Subject: Not a website redesign or lead-generation pitch</w:t>
              <w:br/>
              <w:br/>
              <w:t>Hi [First Name],</w:t>
              <w:br/>
              <w:br/>
              <w:t>To clarify my note: we are not proposing more leads or judging the design of your website. We assess the operating layer after a homeowner shows intent—scope, verification, response, prioritization, booking, routing, attribution, and what the outcomes teach the team to change.</w:t>
              <w:br/>
              <w:br/>
              <w:t>If your current path already controls those points, the assessment should confirm it. If not, it will show the gap.</w:t>
              <w:br/>
              <w:br/>
              <w:t>Would [time A] or [time B] work?</w:t>
              <w:br/>
              <w:br/>
              <w:t>[Compliant signature and opt-out]</w:t>
            </w:r>
          </w:p>
        </w:tc>
      </w:tr>
    </w:tbl>
    <w:p>
      <w:pPr>
        <w:spacing w:after="0"/>
      </w:pPr>
    </w:p>
    <w:p>
      <w:pPr>
        <w:pStyle w:val="Heading2"/>
      </w:pPr>
      <w:r>
        <w:t>Cold email 3 — close the loop</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Subject: Close the loop on [Company]?</w:t>
              <w:br/>
              <w:br/>
              <w:t>Hi [First Name],</w:t>
              <w:br/>
              <w:br/>
              <w:t>I have not been able to confirm whether the post-click intake path for your [ADU / garage conversion] campaigns is already controlled or worth assessing.</w:t>
              <w:br/>
              <w:br/>
              <w:t>Should I close this out, or would a 20-minute outside-in review be useful? A simple 'close it' is fine.</w:t>
              <w:br/>
              <w:br/>
              <w:t>[Compliant signature and opt-out]</w:t>
            </w:r>
          </w:p>
        </w:tc>
      </w:tr>
    </w:tbl>
    <w:p>
      <w:pPr>
        <w:spacing w:after="0"/>
      </w:pPr>
    </w:p>
    <w:p>
      <w:pPr>
        <w:pStyle w:val="Heading1"/>
      </w:pPr>
      <w:r>
        <w:t>9. CRM Discipline and Dispositions</w:t>
      </w:r>
    </w:p>
    <w:tbl>
      <w:tblPr>
        <w:tblW w:type="dxa" w:w="9360"/>
        <w:jc w:val="left"/>
        <w:tblInd w:w="120" w:type="dxa"/>
        <w:tblLayout w:type="fixed"/>
        <w:tblLook w:firstColumn="1" w:firstRow="1" w:lastColumn="0" w:lastRow="0" w:noHBand="0" w:noVBand="1" w:val="04A0"/>
      </w:tblPr>
      <w:tblGrid>
        <w:gridCol w:w="2000"/>
        <w:gridCol w:w="4560"/>
        <w:gridCol w:w="2800"/>
      </w:tblGrid>
      <w:tr>
        <w:trPr>
          <w:cantSplit w:val="true"/>
          <w:tblHeader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Disposition</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Required note</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Next action</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No answer</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Attempt number, time block, number type</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Continue cadence</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Gatekeeper</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Name/role, routing guidance, DM availability</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DM-specific follow-up</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DM connected — no interest</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Exact reason in prospect's words</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End or nurture only if permitted</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Callback</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Reason, exact date/time, stakeholder</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Scheduled callback</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Send info</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Requested topic and promised follow-up time</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Send same day; task the follow-up</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Competitor in place</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Platform, use case, satisfaction, unresolved point</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Competitor-aware follow-up</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Assessment booked</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Diagnostic answer, reason agreed, stack, attendees</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Calendar + handoff</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Disqualified</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Specific criterion</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Suppress from active cadence</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DNC / unsubscribe</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Exact request, channel, date/time</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Immediate suppression; no save attempt</w:t>
            </w:r>
          </w:p>
        </w:tc>
      </w:tr>
      <w:tr>
        <w:trPr>
          <w:cantSplit w:val="true"/>
        </w:trPr>
        <w:tc>
          <w:tcPr>
            <w:tcW w:type="dxa" w:w="20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Complaint / prior test concern</w:t>
            </w:r>
          </w:p>
        </w:tc>
        <w:tc>
          <w:tcPr>
            <w:tcW w:type="dxa" w:w="45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Exact language and affected record</w:t>
            </w:r>
          </w:p>
        </w:tc>
        <w:tc>
          <w:tcPr>
            <w:tcW w:type="dxa" w:w="28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Stop outreach and escalate</w:t>
            </w:r>
          </w:p>
        </w:tc>
      </w:tr>
    </w:tbl>
    <w:p>
      <w:pPr>
        <w:spacing w:after="0"/>
      </w:pPr>
    </w:p>
    <w:p>
      <w:pPr>
        <w:pStyle w:val="Heading2"/>
      </w:pPr>
      <w:r>
        <w:t>Assessment handoff brief</w:t>
      </w:r>
    </w:p>
    <w:p>
      <w:pPr>
        <w:pStyle w:val="ListBullet"/>
      </w:pPr>
      <w:r>
        <w:t>Company, location, license class/status, priority service, observed ad theme, and observation date.</w:t>
      </w:r>
    </w:p>
    <w:p>
      <w:pPr>
        <w:pStyle w:val="ListBullet"/>
      </w:pPr>
      <w:r>
        <w:t>Public destination and exact friction signal, with screenshot or source note if available.</w:t>
      </w:r>
    </w:p>
    <w:p>
      <w:pPr>
        <w:pStyle w:val="ListBullet"/>
      </w:pPr>
      <w:r>
        <w:t>Decision maker, role, incumbent systems, and other required attendees.</w:t>
      </w:r>
    </w:p>
    <w:p>
      <w:pPr>
        <w:pStyle w:val="ListBullet"/>
      </w:pPr>
      <w:r>
        <w:t>Prospect's diagnostic answer and verbatim reason for accepting the meeting.</w:t>
      </w:r>
    </w:p>
    <w:p>
      <w:pPr>
        <w:pStyle w:val="ListBullet"/>
      </w:pPr>
      <w:r>
        <w:t>Objections raised and what resolved them; never rewrite uncertainty as confirmed pain.</w:t>
      </w:r>
    </w:p>
    <w:p>
      <w:pPr>
        <w:pStyle w:val="ListBullet"/>
      </w:pPr>
      <w:r>
        <w:t>Compliance notes: contact source, opt-outs, recording consent status, prior test-submission concern.</w:t>
      </w:r>
    </w:p>
    <w:p>
      <w:pPr>
        <w:pStyle w:val="ListBullet"/>
      </w:pPr>
      <w:r>
        <w:t>The single assessment question the specialist must answer.</w:t>
      </w:r>
    </w:p>
    <w:p>
      <w:pPr>
        <w:pStyle w:val="Heading1"/>
      </w:pPr>
      <w:r>
        <w:t>10. KPI Framework and Setter Management</w:t>
      </w:r>
    </w:p>
    <w:p>
      <w:r>
        <w:rPr>
          <w:b/>
        </w:rPr>
        <w:t xml:space="preserve">Do not judge the script by dials alone. </w:t>
      </w:r>
      <w:r>
        <w:t>The campaign uses tightly researched leads, so relevance, decision-maker conversations, assessment quality, and show rate matter more than raw activity. The provisional thresholds below are internal operating hypotheses—not published industry benchmarks. Reset them after the first 300 valid attempts and at least 40 decision-maker conversations.</w:t>
      </w:r>
    </w:p>
    <w:tbl>
      <w:tblPr>
        <w:tblW w:type="dxa" w:w="9360"/>
        <w:jc w:val="left"/>
        <w:tblInd w:w="120" w:type="dxa"/>
        <w:tblLayout w:type="fixed"/>
        <w:tblLook w:firstColumn="1" w:firstRow="1" w:lastColumn="0" w:lastRow="0" w:noHBand="0" w:noVBand="1" w:val="04A0"/>
      </w:tblPr>
      <w:tblGrid>
        <w:gridCol w:w="1900"/>
        <w:gridCol w:w="4420"/>
        <w:gridCol w:w="3040"/>
      </w:tblGrid>
      <w:tr>
        <w:trPr>
          <w:cantSplit w:val="true"/>
          <w:tblHeader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Metric</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Definition</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Provisional diagnostic threshold</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Valid attempts</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Manual attempts to verified business contacts</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50–70/day after ramp; quality overrides volume</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DM connect rate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Decision-maker conversations ÷ valid attempts</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If &lt;8%, review data, time blocks, caller ID</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30-second continuation</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DM conversations reaching diagnostic question</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If &lt;50%, rewrite opener / observation</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Assessment book rate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Assessments booked ÷ DM conversations</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If &lt;15%, review pain bridge and close</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Show rate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Held assessments ÷ scheduled assessments</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Aim ≥70%; repair confirmation and qualification</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Qualified-show rate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Held meetings matching appointment standard</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Aim ≥60%; repair setter qualification</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Proposal rate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Proposals ÷ qualified assessments</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Owned by assessment quality and offer fit</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DNC compliance</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Requests suppressed correctly</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6"/>
              </w:rPr>
              <w:t>100%; any miss is a critical incident</w:t>
            </w:r>
          </w:p>
        </w:tc>
      </w:tr>
      <w:tr>
        <w:trPr>
          <w:cantSplit w:val="true"/>
        </w:trPr>
        <w:tc>
          <w:tcPr>
            <w:tcW w:type="dxa" w:w="1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Substantiation error</w:t>
            </w:r>
          </w:p>
        </w:tc>
        <w:tc>
          <w:tcPr>
            <w:tcW w:type="dxa" w:w="44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Unverified claim, invented spend, guaranteed result</w:t>
            </w:r>
          </w:p>
        </w:tc>
        <w:tc>
          <w:tcPr>
            <w:tcW w:type="dxa" w:w="30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6"/>
              </w:rPr>
              <w:t>Target zero</w:t>
            </w:r>
          </w:p>
        </w:tc>
      </w:tr>
    </w:tbl>
    <w:p>
      <w:pPr>
        <w:spacing w:after="0"/>
      </w:pPr>
    </w:p>
    <w:p>
      <w:pPr>
        <w:pStyle w:val="Heading2"/>
      </w:pPr>
      <w:r>
        <w:t>Funnel diagnosis</w:t>
      </w:r>
    </w:p>
    <w:tbl>
      <w:tblPr>
        <w:tblW w:type="dxa" w:w="9360"/>
        <w:jc w:val="left"/>
        <w:tblInd w:w="120" w:type="dxa"/>
        <w:tblLayout w:type="fixed"/>
        <w:tblLook w:firstColumn="1" w:firstRow="1" w:lastColumn="0" w:lastRow="0" w:noHBand="0" w:noVBand="1" w:val="04A0"/>
      </w:tblPr>
      <w:tblGrid>
        <w:gridCol w:w="1700"/>
        <w:gridCol w:w="4200"/>
        <w:gridCol w:w="3460"/>
      </w:tblGrid>
      <w:tr>
        <w:trPr>
          <w:cantSplit w:val="true"/>
          <w:tblHeader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Weak metric</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Likely cause</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First correction</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Low connect</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Bad numbers, wrong roles, caller ID reputation, wrong time</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Audit 50 records and time blocks before changing copy</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Low continuation</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Generic opener, accusation, too much AI/product language</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Shorten to one observation and one homeowner consequence</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Low bookings</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No clear assessment value, setter over-discovers, weak two-option close</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Tighten meeting outcome and close earlier</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Low show</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Weak confirmation, wrong stakeholder, vague agenda</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Require accepted invite and 24-hour confirmation</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Low qualified-show</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Booked curiosity, not business fit</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Reinforce paid-intent and stakeholder standards</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High competitor rejection</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Feature-comparison posture</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Acknowledge capability and assess configuration/governance</w:t>
            </w:r>
          </w:p>
        </w:tc>
      </w:tr>
      <w:tr>
        <w:trPr>
          <w:cantSplit w:val="true"/>
        </w:trPr>
        <w:tc>
          <w:tcPr>
            <w:tcW w:type="dxa" w:w="17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Complaints</w:t>
            </w:r>
          </w:p>
        </w:tc>
        <w:tc>
          <w:tcPr>
            <w:tcW w:type="dxa" w:w="42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Gotcha language, excessive cadence, unclear identity, research overreach</w:t>
            </w:r>
          </w:p>
        </w:tc>
        <w:tc>
          <w:tcPr>
            <w:tcW w:type="dxa" w:w="346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Pause affected segment and review calls immediately</w:t>
            </w:r>
          </w:p>
        </w:tc>
      </w:tr>
    </w:tbl>
    <w:p>
      <w:pPr>
        <w:spacing w:after="0"/>
      </w:pPr>
    </w:p>
    <w:p>
      <w:pPr>
        <w:pStyle w:val="Heading1"/>
      </w:pPr>
      <w:r>
        <w:t>11. 100-Point Call Quality Scorecard</w:t>
      </w:r>
    </w:p>
    <w:tbl>
      <w:tblPr>
        <w:tblW w:type="dxa" w:w="9360"/>
        <w:jc w:val="left"/>
        <w:tblInd w:w="120" w:type="dxa"/>
        <w:tblLayout w:type="fixed"/>
        <w:tblLook w:firstColumn="1" w:firstRow="1" w:lastColumn="0" w:lastRow="0" w:noHBand="0" w:noVBand="1" w:val="04A0"/>
      </w:tblPr>
      <w:tblGrid>
        <w:gridCol w:w="2750"/>
        <w:gridCol w:w="900"/>
        <w:gridCol w:w="5710"/>
      </w:tblGrid>
      <w:tr>
        <w:trPr>
          <w:cantSplit w:val="true"/>
          <w:tblHeader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Category</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Points</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Full-credit behavior</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Research relevance</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15</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Correct company, service, observation, destination, and role</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Identity and opener</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Name/company clear; concise; no deception or mystery</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Observation accuracy</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15</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States only what is publicly verifiable; no leakage claim</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Homeowner-to-business bridge</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Connects homeowner uncertainty to a measurable workflow question</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Diagnostic question</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One high-value question; relevant to the observed path</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Listening and control</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Does not interrupt; summarizes; avoids over-discovery</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Positioning</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Post-click control/intelligence; not lead gen, CRM replacement, or AI hype</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Objection handling</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Acknowledges, clarifies, answers, returns to assessment</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Booking</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10</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Two specific times; correct stakeholder; purpose and timezone confirmed</w:t>
            </w:r>
          </w:p>
        </w:tc>
      </w:tr>
      <w:tr>
        <w:trPr>
          <w:cantSplit w:val="true"/>
        </w:trPr>
        <w:tc>
          <w:tcPr>
            <w:tcW w:type="dxa" w:w="275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Compliance and CRM</w:t>
            </w:r>
          </w:p>
        </w:tc>
        <w:tc>
          <w:tcPr>
            <w:tcW w:type="dxa" w:w="9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5</w:t>
            </w:r>
          </w:p>
        </w:tc>
        <w:tc>
          <w:tcPr>
            <w:tcW w:type="dxa" w:w="571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Consent/DNC/caller ID rules followed; complete notes</w:t>
            </w:r>
          </w:p>
        </w:tc>
      </w:tr>
    </w:tbl>
    <w:p>
      <w:pPr>
        <w:spacing w:after="0"/>
      </w:pP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9B1C1C"/>
              <w:start w:val="single" w:sz="8" w:space="0" w:color="9B1C1C"/>
              <w:bottom w:val="single" w:sz="8" w:space="0" w:color="9B1C1C"/>
              <w:end w:val="single" w:sz="8" w:space="0" w:color="9B1C1C"/>
              <w:insideH w:val="single" w:sz="8" w:space="0" w:color="9B1C1C"/>
              <w:insideV w:val="single" w:sz="8" w:space="0" w:color="9B1C1C"/>
            </w:tcBorders>
            <w:shd w:fill="FCE8E6" w:val="clear"/>
            <w:tcMar>
              <w:top w:w="80" w:type="dxa"/>
              <w:start w:w="120" w:type="dxa"/>
              <w:bottom w:w="80" w:type="dxa"/>
              <w:end w:w="120" w:type="dxa"/>
            </w:tcMar>
            <w:vAlign w:val="top"/>
          </w:tcPr>
          <w:p>
            <w:pPr>
              <w:spacing w:after="40"/>
            </w:pPr>
            <w:r>
              <w:rPr>
                <w:rFonts w:ascii="Calibri" w:hAnsi="Calibri"/>
                <w:b/>
                <w:color w:val="9B1C1C"/>
                <w:sz w:val="18"/>
              </w:rPr>
              <w:t>CRITICAL FAIL</w:t>
            </w:r>
          </w:p>
          <w:p>
            <w:pPr>
              <w:spacing w:after="0"/>
            </w:pPr>
            <w:r>
              <w:rPr>
                <w:rFonts w:ascii="Calibri" w:hAnsi="Calibri"/>
                <w:b w:val="0"/>
                <w:color w:val="0B2545"/>
                <w:sz w:val="21"/>
              </w:rPr>
              <w:t>Automatic fail for deception; fake homeowner claims; knowingly causing paid-ad clicks; ignoring a do-not-call request; recording without all-party consent; spoofed caller ID; fabricated spend/results; guaranteed appointments, sales, or ROI; or arguing after a clear refusal.</w:t>
            </w:r>
          </w:p>
        </w:tc>
      </w:tr>
    </w:tbl>
    <w:p>
      <w:pPr>
        <w:spacing w:after="0"/>
      </w:pPr>
    </w:p>
    <w:p>
      <w:pPr>
        <w:pStyle w:val="Heading2"/>
      </w:pPr>
      <w:r>
        <w:t>Coaching rhythm</w:t>
      </w:r>
    </w:p>
    <w:p>
      <w:pPr>
        <w:pStyle w:val="ListBullet"/>
      </w:pPr>
      <w:r>
        <w:t>Daily: 10-minute stand-up on yesterday's numbers, top objection, and today's Tier A accounts.</w:t>
      </w:r>
    </w:p>
    <w:p>
      <w:pPr>
        <w:pStyle w:val="ListBullet"/>
      </w:pPr>
      <w:r>
        <w:t>Daily during ramp: review three calls—one strong, one weak, one ambiguous—using the scorecard.</w:t>
      </w:r>
    </w:p>
    <w:p>
      <w:pPr>
        <w:pStyle w:val="ListBullet"/>
      </w:pPr>
      <w:r>
        <w:t>Weekly: review funnel ratios by lead tier, observation label, incumbent stack, and call block.</w:t>
      </w:r>
    </w:p>
    <w:p>
      <w:pPr>
        <w:pStyle w:val="ListBullet"/>
      </w:pPr>
      <w:r>
        <w:t>Every two weeks: change only one major variable per test (opener, diagnostic, close, or cadence).</w:t>
      </w:r>
    </w:p>
    <w:p>
      <w:pPr>
        <w:pStyle w:val="ListBullet"/>
      </w:pPr>
      <w:r>
        <w:t>Monthly: feed real objection and call-outcome patterns into the Quotify intelligence and enablement loop.</w:t>
      </w:r>
    </w:p>
    <w:p>
      <w:pPr>
        <w:pStyle w:val="Heading1"/>
      </w:pPr>
      <w:r>
        <w:t>12. 30-Day Ramp Plan</w:t>
      </w:r>
    </w:p>
    <w:tbl>
      <w:tblPr>
        <w:tblW w:type="dxa" w:w="9360"/>
        <w:jc w:val="left"/>
        <w:tblInd w:w="120" w:type="dxa"/>
        <w:tblLayout w:type="fixed"/>
        <w:tblLook w:firstColumn="1" w:firstRow="1" w:lastColumn="0" w:lastRow="0" w:noHBand="0" w:noVBand="1" w:val="04A0"/>
      </w:tblPr>
      <w:tblGrid>
        <w:gridCol w:w="1500"/>
        <w:gridCol w:w="4740"/>
        <w:gridCol w:w="3120"/>
      </w:tblGrid>
      <w:tr>
        <w:trPr>
          <w:cantSplit w:val="true"/>
          <w:tblHeader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Period</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Setter focus</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0B2545" w:val="clear"/>
            <w:tcMar>
              <w:top w:w="80" w:type="dxa"/>
              <w:start w:w="120" w:type="dxa"/>
              <w:bottom w:w="80" w:type="dxa"/>
              <w:end w:w="120" w:type="dxa"/>
            </w:tcMar>
            <w:vAlign w:val="top"/>
          </w:tcPr>
          <w:p>
            <w:pPr>
              <w:spacing w:after="0"/>
            </w:pPr>
            <w:r>
              <w:rPr>
                <w:rFonts w:ascii="Calibri" w:hAnsi="Calibri"/>
                <w:b/>
                <w:color w:val="FFFFFF"/>
                <w:sz w:val="18"/>
              </w:rPr>
              <w:t>Manager gate</w:t>
            </w:r>
          </w:p>
        </w:tc>
      </w:tr>
      <w:tr>
        <w:trPr>
          <w:cantSplit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Days 1–3</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Product positioning, ICP, compliance, scripts, competitor truth, CRM fields</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Pass written and role-play certification</w:t>
            </w:r>
          </w:p>
        </w:tc>
      </w:tr>
      <w:tr>
        <w:trPr>
          <w:cantSplit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Days 4–5</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20+ role plays across owner, gatekeeper, competitor, and DNC scenarios</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Average ≥80/100; zero critical fails</w:t>
            </w:r>
          </w:p>
        </w:tc>
      </w:tr>
      <w:tr>
        <w:trPr>
          <w:cantSplit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Week 2</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Supervised Tier B/C calls; daily review; low-volume precision</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30-second continuation and note quality</w:t>
            </w:r>
          </w:p>
        </w:tc>
      </w:tr>
      <w:tr>
        <w:trPr>
          <w:cantSplit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Week 3</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Tier A calls; full cadence; booking/handoff discipline</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shd w:fill="FAFBFC" w:val="clear"/>
            <w:tcMar>
              <w:top w:w="80" w:type="dxa"/>
              <w:start w:w="120" w:type="dxa"/>
              <w:bottom w:w="80" w:type="dxa"/>
              <w:end w:w="120" w:type="dxa"/>
            </w:tcMar>
            <w:vAlign w:val="top"/>
          </w:tcPr>
          <w:p>
            <w:pPr>
              <w:spacing w:after="20"/>
            </w:pPr>
            <w:r>
              <w:rPr>
                <w:rFonts w:ascii="Calibri" w:hAnsi="Calibri"/>
                <w:color w:val="111111"/>
                <w:sz w:val="17"/>
              </w:rPr>
              <w:t>First qualified held assessments</w:t>
            </w:r>
          </w:p>
        </w:tc>
      </w:tr>
      <w:tr>
        <w:trPr>
          <w:cantSplit w:val="true"/>
        </w:trPr>
        <w:tc>
          <w:tcPr>
            <w:tcW w:type="dxa" w:w="150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Week 4</w:t>
            </w:r>
          </w:p>
        </w:tc>
        <w:tc>
          <w:tcPr>
            <w:tcW w:type="dxa" w:w="474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Stable activity; objection pattern capture; one controlled script test</w:t>
            </w:r>
          </w:p>
        </w:tc>
        <w:tc>
          <w:tcPr>
            <w:tcW w:type="dxa" w:w="3120"/>
            <w:tcBorders>
              <w:top w:val="single" w:sz="6" w:space="0" w:color="D4D9DF"/>
              <w:start w:val="single" w:sz="6" w:space="0" w:color="D4D9DF"/>
              <w:bottom w:val="single" w:sz="6" w:space="0" w:color="D4D9DF"/>
              <w:end w:val="single" w:sz="6" w:space="0" w:color="D4D9DF"/>
              <w:insideH w:val="single" w:sz="6" w:space="0" w:color="D4D9DF"/>
              <w:insideV w:val="single" w:sz="6" w:space="0" w:color="D4D9DF"/>
            </w:tcBorders>
            <w:tcMar>
              <w:top w:w="80" w:type="dxa"/>
              <w:start w:w="120" w:type="dxa"/>
              <w:bottom w:w="80" w:type="dxa"/>
              <w:end w:w="120" w:type="dxa"/>
            </w:tcMar>
            <w:vAlign w:val="top"/>
          </w:tcPr>
          <w:p>
            <w:pPr>
              <w:spacing w:after="20"/>
            </w:pPr>
            <w:r>
              <w:rPr>
                <w:rFonts w:ascii="Calibri" w:hAnsi="Calibri"/>
                <w:color w:val="111111"/>
                <w:sz w:val="17"/>
              </w:rPr>
              <w:t>Baseline set after sufficient conversations</w:t>
            </w:r>
          </w:p>
        </w:tc>
      </w:tr>
    </w:tbl>
    <w:p>
      <w:pPr>
        <w:spacing w:after="0"/>
      </w:pPr>
    </w:p>
    <w:p>
      <w:pPr>
        <w:pStyle w:val="Heading1"/>
      </w:pPr>
      <w:r>
        <w:t>13. Compliance, Privacy, and Ethics Guardrails</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B8860B"/>
              <w:start w:val="single" w:sz="8" w:space="0" w:color="B8860B"/>
              <w:bottom w:val="single" w:sz="8" w:space="0" w:color="B8860B"/>
              <w:end w:val="single" w:sz="8" w:space="0" w:color="B8860B"/>
              <w:insideH w:val="single" w:sz="8" w:space="0" w:color="B8860B"/>
              <w:insideV w:val="single" w:sz="8" w:space="0" w:color="B8860B"/>
            </w:tcBorders>
            <w:shd w:fill="FFF8E1" w:val="clear"/>
            <w:tcMar>
              <w:top w:w="80" w:type="dxa"/>
              <w:start w:w="120" w:type="dxa"/>
              <w:bottom w:w="80" w:type="dxa"/>
              <w:end w:w="120" w:type="dxa"/>
            </w:tcMar>
            <w:vAlign w:val="top"/>
          </w:tcPr>
          <w:p>
            <w:pPr>
              <w:spacing w:after="40"/>
            </w:pPr>
            <w:r>
              <w:rPr>
                <w:rFonts w:ascii="Calibri" w:hAnsi="Calibri"/>
                <w:b/>
                <w:color w:val="B8860B"/>
                <w:sz w:val="18"/>
              </w:rPr>
              <w:t>NOT LEGAL ADVICE</w:t>
            </w:r>
          </w:p>
          <w:p>
            <w:pPr>
              <w:spacing w:after="0"/>
            </w:pPr>
            <w:r>
              <w:rPr>
                <w:rFonts w:ascii="Calibri" w:hAnsi="Calibri"/>
                <w:b w:val="0"/>
                <w:color w:val="0B2545"/>
                <w:sz w:val="21"/>
              </w:rPr>
              <w:t>This is a conservative operating policy, not a legal opinion. Before launch, U.S./California counsel should review the campaign, contact sources, dialing technology, caller location, recording configuration, email footer, privacy notices, and whether any California telephonic-seller or data-broker obligations apply.</w:t>
            </w:r>
          </w:p>
        </w:tc>
      </w:tr>
    </w:tbl>
    <w:p>
      <w:pPr>
        <w:spacing w:after="0"/>
      </w:pPr>
    </w:p>
    <w:p>
      <w:pPr>
        <w:pStyle w:val="ListBullet"/>
      </w:pPr>
      <w:r>
        <w:t>First touch must be a live human call placed manually to a business-published number for a business purpose. No AI-generated voice, prerecorded message, ringless voicemail, or automated cold-call agent.</w:t>
      </w:r>
    </w:p>
    <w:p>
      <w:pPr>
        <w:pStyle w:val="ListBullet"/>
      </w:pPr>
      <w:r>
        <w:t>Do not use number spoofing or misleading local presence. Transmit a real, callable Optimyzed number and identify the caller and company promptly.</w:t>
      </w:r>
    </w:p>
    <w:p>
      <w:pPr>
        <w:pStyle w:val="ListBullet"/>
      </w:pPr>
      <w:r>
        <w:t>Use conservative business-hour windows in the prospect's local time. The campaign standard is 8:30 a.m.–5:00 p.m. Pacific, even where broader legal hours may exist.</w:t>
      </w:r>
    </w:p>
    <w:p>
      <w:pPr>
        <w:pStyle w:val="ListBullet"/>
      </w:pPr>
      <w:r>
        <w:t>Maintain an entity-specific do-not-call list. A clear request ends the call and suppresses future phone outreach immediately; apply channel suppression according to company policy and counsel guidance.</w:t>
      </w:r>
    </w:p>
    <w:p>
      <w:pPr>
        <w:pStyle w:val="ListBullet"/>
      </w:pPr>
      <w:r>
        <w:t>Treat a number as mobile/personal when uncertain. Do not use automated dialing, prerecorded/artificial voice, or cold SMS. Obtain explicit permission before scheduling texts.</w:t>
      </w:r>
    </w:p>
    <w:p>
      <w:pPr>
        <w:pStyle w:val="ListBullet"/>
      </w:pPr>
      <w:r>
        <w:t>California requires consent of all parties before recording a confidential communication. Ask clearly and disable recording if consent is not given.[4]</w:t>
      </w:r>
    </w:p>
    <w:p>
      <w:pPr>
        <w:pStyle w:val="ListBullet"/>
      </w:pPr>
      <w:r>
        <w:t>Cold commercial email is covered by CAN-SPAM even in B2B. Use accurate routing and subjects, identify the commercial nature, include a valid physical postal address and clear opt-out, and honor opt-outs promptly.[5]</w:t>
      </w:r>
    </w:p>
    <w:p>
      <w:pPr>
        <w:pStyle w:val="ListBullet"/>
      </w:pPr>
      <w:r>
        <w:t>Do not impersonate a homeowner, submit test inquiries, or knowingly click paid ads. Use public observations and direct website access. Google describes invalid clicks as clicks it may filter from charges; avoid creating any click that is not genuine customer interest.[6]</w:t>
      </w:r>
    </w:p>
    <w:p>
      <w:pPr>
        <w:pStyle w:val="ListBullet"/>
      </w:pPr>
      <w:r>
        <w:t>Never claim access to a prospect's Google Ads account, spend, conversion data, response data, or CRM unless provided by the prospect.</w:t>
      </w:r>
    </w:p>
    <w:p>
      <w:pPr>
        <w:pStyle w:val="ListBullet"/>
      </w:pPr>
      <w:r>
        <w:t>Use public license and business-contact data only for the stated business-development purpose. Restrict access, document sources, correct errors, honor deletion/suppression requests, and do not resell the compiled list.</w:t>
      </w:r>
    </w:p>
    <w:p>
      <w:pPr>
        <w:pStyle w:val="ListBullet"/>
      </w:pPr>
      <w:r>
        <w:t>Do not promise sales, booked jobs, revenue, ROI, or a specific improvement. The assessment identifies controllable process gaps; commercial performance depends on traffic, market, offer, follow-up, estimating, and closing.</w:t>
      </w:r>
    </w:p>
    <w:p>
      <w:pPr>
        <w:pStyle w:val="Heading2"/>
      </w:pPr>
      <w:r>
        <w:t>Recording disclosure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Before we continue, is it okay if this call is recorded for training and quality review? If not, no problem—I will turn recording off.</w:t>
            </w:r>
          </w:p>
        </w:tc>
      </w:tr>
    </w:tbl>
    <w:p>
      <w:pPr>
        <w:spacing w:after="0"/>
      </w:pPr>
    </w:p>
    <w:p>
      <w:pPr>
        <w:pStyle w:val="SmallNote"/>
      </w:pPr>
      <w:r>
        <w:t>The setter must know how to verify that recording is actually disabled before continuing. A disclosure without operational control is not enough.</w:t>
      </w:r>
    </w:p>
    <w:p>
      <w:pPr>
        <w:pStyle w:val="Heading2"/>
      </w:pPr>
      <w:r>
        <w:t>Legal and policy context</w:t>
      </w:r>
    </w:p>
    <w:p>
      <w:r>
        <w:rPr>
          <w:b/>
        </w:rPr>
        <w:t xml:space="preserve">Federal B2B context. </w:t>
      </w:r>
      <w:r>
        <w:t>FTC guidance says most calls to a business made to solicit sales from that business are exempt from the Telemarketing Sales Rule and National Do Not Call provisions, but the FTC also cautions that exemption determinations can require legal assessment; FCC, state, deception, caller-ID, privacy, recording, and technology-specific rules may still apply.[1][2]</w:t>
      </w:r>
    </w:p>
    <w:p>
      <w:r>
        <w:rPr>
          <w:b/>
        </w:rPr>
        <w:t xml:space="preserve">California registration question. </w:t>
      </w:r>
      <w:r>
        <w:t>California's Attorney General states that businesses meeting the statutory definition of a telephonic seller must register and maintain a bond. The definition is fact-specific and contains categories and exemptions. Counsel should determine whether Optimyzed's exact campaign and sales completion process falls within the statute before launch.[3]</w:t>
      </w:r>
    </w:p>
    <w:p>
      <w:pPr>
        <w:pStyle w:val="Heading1"/>
      </w:pPr>
      <w:r>
        <w:t>14. One-Page Setter Quick Reference</w:t>
      </w: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2E74B5"/>
              <w:start w:val="single" w:sz="8" w:space="0" w:color="2E74B5"/>
              <w:bottom w:val="single" w:sz="8" w:space="0" w:color="2E74B5"/>
              <w:end w:val="single" w:sz="8" w:space="0" w:color="2E74B5"/>
              <w:insideH w:val="single" w:sz="8" w:space="0" w:color="2E74B5"/>
              <w:insideV w:val="single" w:sz="8" w:space="0" w:color="2E74B5"/>
            </w:tcBorders>
            <w:shd w:fill="E8EEF5" w:val="clear"/>
            <w:tcMar>
              <w:top w:w="80" w:type="dxa"/>
              <w:start w:w="120" w:type="dxa"/>
              <w:bottom w:w="80" w:type="dxa"/>
              <w:end w:w="120" w:type="dxa"/>
            </w:tcMar>
            <w:vAlign w:val="top"/>
          </w:tcPr>
          <w:p>
            <w:pPr>
              <w:spacing w:after="40"/>
            </w:pPr>
            <w:r>
              <w:rPr>
                <w:rFonts w:ascii="Calibri" w:hAnsi="Calibri"/>
                <w:b/>
                <w:color w:val="2E74B5"/>
                <w:sz w:val="18"/>
              </w:rPr>
              <w:t>OPENING FORMULA</w:t>
            </w:r>
          </w:p>
          <w:p>
            <w:pPr>
              <w:spacing w:after="0"/>
            </w:pPr>
            <w:r>
              <w:rPr>
                <w:rFonts w:ascii="Calibri" w:hAnsi="Calibri"/>
                <w:b/>
                <w:color w:val="0B2545"/>
                <w:sz w:val="21"/>
              </w:rPr>
              <w:t>[Identity] + [specific ad/service/destination observation] + [homeowner uncertainty] + [one diagnostic question]</w:t>
            </w:r>
          </w:p>
        </w:tc>
      </w:tr>
    </w:tbl>
    <w:p>
      <w:pPr>
        <w:spacing w:after="0"/>
      </w:pP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6" w:space="0" w:color="B8C8D8"/>
              <w:start w:val="single" w:sz="6" w:space="0" w:color="B8C8D8"/>
              <w:bottom w:val="single" w:sz="6" w:space="0" w:color="B8C8D8"/>
              <w:end w:val="single" w:sz="6" w:space="0" w:color="B8C8D8"/>
              <w:insideH w:val="single" w:sz="6" w:space="0" w:color="B8C8D8"/>
              <w:insideV w:val="single" w:sz="6" w:space="0" w:color="B8C8D8"/>
            </w:tcBorders>
            <w:shd w:fill="F7FAFC" w:val="clear"/>
            <w:tcMar>
              <w:top w:w="80" w:type="dxa"/>
              <w:start w:w="120" w:type="dxa"/>
              <w:bottom w:w="80" w:type="dxa"/>
              <w:end w:w="120" w:type="dxa"/>
            </w:tcMar>
            <w:vAlign w:val="top"/>
          </w:tcPr>
          <w:p>
            <w:pPr>
              <w:pStyle w:val="Script"/>
            </w:pPr>
            <w:r>
              <w:rPr>
                <w:rFonts w:ascii="Calibri" w:hAnsi="Calibri"/>
                <w:color w:val="0B2545"/>
                <w:sz w:val="21"/>
              </w:rPr>
              <w:t>Hi [Name], [Setter] with Optimyzed. We saw [Company] in sponsored results for [service], and the public path led to [destination]. For a complex project, that may leave the homeowner unsure what to provide or what happens next. It doesn't prove a leak—but it is where paid intent can become hard to qualify. When an inquiry arrives, can your team tell quickly whether it is properly scoped and ready for an estimate conversation?</w:t>
            </w:r>
          </w:p>
        </w:tc>
      </w:tr>
    </w:tbl>
    <w:p>
      <w:pPr>
        <w:spacing w:after="0"/>
      </w:pPr>
    </w:p>
    <w:tbl>
      <w:tblPr>
        <w:tblW w:type="dxa" w:w="9360"/>
        <w:jc w:val="left"/>
        <w:tblInd w:w="120" w:type="dxa"/>
        <w:tblLayout w:type="fixed"/>
        <w:tblLook w:firstColumn="1" w:firstRow="1" w:lastColumn="0" w:lastRow="0" w:noHBand="0" w:noVBand="1" w:val="04A0"/>
      </w:tblPr>
      <w:tblGrid>
        <w:gridCol w:w="9360"/>
      </w:tblGrid>
      <w:tr>
        <w:trPr>
          <w:cantSplit w:val="true"/>
        </w:trPr>
        <w:tc>
          <w:tcPr>
            <w:tcW w:type="dxa" w:w="9360"/>
            <w:tcBorders>
              <w:top w:val="single" w:sz="8" w:space="0" w:color="B8860B"/>
              <w:start w:val="single" w:sz="8" w:space="0" w:color="B8860B"/>
              <w:bottom w:val="single" w:sz="8" w:space="0" w:color="B8860B"/>
              <w:end w:val="single" w:sz="8" w:space="0" w:color="B8860B"/>
              <w:insideH w:val="single" w:sz="8" w:space="0" w:color="B8860B"/>
              <w:insideV w:val="single" w:sz="8" w:space="0" w:color="B8860B"/>
            </w:tcBorders>
            <w:shd w:fill="FFF8E1" w:val="clear"/>
            <w:tcMar>
              <w:top w:w="80" w:type="dxa"/>
              <w:start w:w="120" w:type="dxa"/>
              <w:bottom w:w="80" w:type="dxa"/>
              <w:end w:w="120" w:type="dxa"/>
            </w:tcMar>
            <w:vAlign w:val="top"/>
          </w:tcPr>
          <w:p>
            <w:pPr>
              <w:spacing w:after="40"/>
            </w:pPr>
            <w:r>
              <w:rPr>
                <w:rFonts w:ascii="Calibri" w:hAnsi="Calibri"/>
                <w:b/>
                <w:color w:val="B8860B"/>
                <w:sz w:val="18"/>
              </w:rPr>
              <w:t>CLOSE</w:t>
            </w:r>
          </w:p>
          <w:p>
            <w:pPr>
              <w:spacing w:after="0"/>
            </w:pPr>
            <w:r>
              <w:rPr>
                <w:rFonts w:ascii="Calibri" w:hAnsi="Calibri"/>
                <w:b/>
                <w:color w:val="0B2545"/>
                <w:sz w:val="21"/>
              </w:rPr>
              <w:t>“Let's measure the actual path. Tuesday at 10:30 or Wednesday at 2:00 Pacific?”</w:t>
            </w:r>
          </w:p>
        </w:tc>
      </w:tr>
    </w:tbl>
    <w:p>
      <w:pPr>
        <w:spacing w:after="0"/>
      </w:pPr>
    </w:p>
    <w:p>
      <w:pPr>
        <w:pStyle w:val="ListBullet"/>
      </w:pPr>
      <w:r>
        <w:t>Say: may, appears, observed, worth checking, how does it work today.</w:t>
      </w:r>
    </w:p>
    <w:p>
      <w:pPr>
        <w:pStyle w:val="ListBullet"/>
      </w:pPr>
      <w:r>
        <w:t>Do not say: definitely leaking, wasting ad spend, nobody called us, your agency failed, our AI is unique.</w:t>
      </w:r>
    </w:p>
    <w:p>
      <w:pPr>
        <w:pStyle w:val="ListBullet"/>
      </w:pPr>
      <w:r>
        <w:t>If a competitor is named: acknowledge capability, assess configuration and governance.</w:t>
      </w:r>
    </w:p>
    <w:p>
      <w:pPr>
        <w:pStyle w:val="ListBullet"/>
      </w:pPr>
      <w:r>
        <w:t>If asked price: the specialist scopes one option after diagnosis.</w:t>
      </w:r>
    </w:p>
    <w:p>
      <w:pPr>
        <w:pStyle w:val="ListBullet"/>
      </w:pPr>
      <w:r>
        <w:t>If asked to stop: acknowledge, suppress, end.</w:t>
      </w:r>
    </w:p>
    <w:p>
      <w:pPr>
        <w:pStyle w:val="ListBullet"/>
      </w:pPr>
      <w:r>
        <w:t>If asked about prior test inquiries: be truthful, apologize if needed, escalate.</w:t>
      </w:r>
    </w:p>
    <w:p>
      <w:pPr>
        <w:pStyle w:val="Heading1"/>
      </w:pPr>
      <w:r>
        <w:t>15. Source Notes</w:t>
      </w:r>
    </w:p>
    <w:p>
      <w:pPr>
        <w:spacing w:after="60"/>
      </w:pPr>
      <w:r>
        <w:rPr>
          <w:rFonts w:ascii="Calibri" w:hAnsi="Calibri"/>
          <w:b/>
          <w:color w:val="0B2545"/>
          <w:sz w:val="18"/>
        </w:rPr>
        <w:t xml:space="preserve">[1] FTC — Complying with the Telemarketing Sales Rule. </w:t>
      </w:r>
      <w:r>
        <w:rPr>
          <w:rFonts w:ascii="Calibri" w:hAnsi="Calibri"/>
          <w:color w:val="111111"/>
          <w:sz w:val="18"/>
        </w:rPr>
        <w:t xml:space="preserve">Most B2B solicitation calls are exempt from the TSR, with exceptions; other rules can still apply. </w:t>
      </w:r>
      <w:r>
        <w:rPr>
          <w:rFonts w:ascii="Calibri" w:hAnsi="Calibri"/>
          <w:color w:val="2E74B5"/>
          <w:sz w:val="17"/>
          <w:u w:val="single"/>
        </w:rPr>
        <w:t>https://www.ftc.gov/business-guidance/resources/complying-telemarketing-sales-rule</w:t>
      </w:r>
    </w:p>
    <w:p>
      <w:pPr>
        <w:spacing w:after="60"/>
      </w:pPr>
      <w:r>
        <w:rPr>
          <w:rFonts w:ascii="Calibri" w:hAnsi="Calibri"/>
          <w:b/>
          <w:color w:val="0B2545"/>
          <w:sz w:val="18"/>
        </w:rPr>
        <w:t xml:space="preserve">[2] FTC — Q&amp;A for Telemarketers and Sellers About DNC Provisions. </w:t>
      </w:r>
      <w:r>
        <w:rPr>
          <w:rFonts w:ascii="Calibri" w:hAnsi="Calibri"/>
          <w:color w:val="111111"/>
          <w:sz w:val="18"/>
        </w:rPr>
        <w:t xml:space="preserve">Most calls to a business to solicit sales from that business are exempt from federal DNC provisions; FTC advises careful assessment. </w:t>
      </w:r>
      <w:r>
        <w:rPr>
          <w:rFonts w:ascii="Calibri" w:hAnsi="Calibri"/>
          <w:color w:val="2E74B5"/>
          <w:sz w:val="17"/>
          <w:u w:val="single"/>
        </w:rPr>
        <w:t>https://www.ftc.gov/business-guidance/resources/qa-telemarketers-sellers-about-dnc-provisions-tsr-0</w:t>
      </w:r>
    </w:p>
    <w:p>
      <w:pPr>
        <w:spacing w:after="60"/>
      </w:pPr>
      <w:r>
        <w:rPr>
          <w:rFonts w:ascii="Calibri" w:hAnsi="Calibri"/>
          <w:b/>
          <w:color w:val="0B2545"/>
          <w:sz w:val="18"/>
        </w:rPr>
        <w:t xml:space="preserve">[3] California DOJ — Telephonic Seller Registration. </w:t>
      </w:r>
      <w:r>
        <w:rPr>
          <w:rFonts w:ascii="Calibri" w:hAnsi="Calibri"/>
          <w:color w:val="111111"/>
          <w:sz w:val="18"/>
        </w:rPr>
        <w:t xml:space="preserve">California registration and bonding overview for businesses that meet the statutory telephonic-seller definition. </w:t>
      </w:r>
      <w:r>
        <w:rPr>
          <w:rFonts w:ascii="Calibri" w:hAnsi="Calibri"/>
          <w:color w:val="2E74B5"/>
          <w:sz w:val="17"/>
          <w:u w:val="single"/>
        </w:rPr>
        <w:t>https://oag.ca.gov/consumers/general/telreg</w:t>
      </w:r>
    </w:p>
    <w:p>
      <w:pPr>
        <w:spacing w:after="60"/>
      </w:pPr>
      <w:r>
        <w:rPr>
          <w:rFonts w:ascii="Calibri" w:hAnsi="Calibri"/>
          <w:b/>
          <w:color w:val="0B2545"/>
          <w:sz w:val="18"/>
        </w:rPr>
        <w:t xml:space="preserve">[4] California Penal Code §632. </w:t>
      </w:r>
      <w:r>
        <w:rPr>
          <w:rFonts w:ascii="Calibri" w:hAnsi="Calibri"/>
          <w:color w:val="111111"/>
          <w:sz w:val="18"/>
        </w:rPr>
        <w:t xml:space="preserve">All-party consent rule for recording confidential communications. </w:t>
      </w:r>
      <w:r>
        <w:rPr>
          <w:rFonts w:ascii="Calibri" w:hAnsi="Calibri"/>
          <w:color w:val="2E74B5"/>
          <w:sz w:val="17"/>
          <w:u w:val="single"/>
        </w:rPr>
        <w:t>https://leginfo.legislature.ca.gov/faces/codes_displaySection.xhtml?lawCode=PEN&amp;sectionNum=632</w:t>
      </w:r>
    </w:p>
    <w:p>
      <w:pPr>
        <w:spacing w:after="60"/>
      </w:pPr>
      <w:r>
        <w:rPr>
          <w:rFonts w:ascii="Calibri" w:hAnsi="Calibri"/>
          <w:b/>
          <w:color w:val="0B2545"/>
          <w:sz w:val="18"/>
        </w:rPr>
        <w:t xml:space="preserve">[5] FTC — CAN-SPAM Compliance Guide. </w:t>
      </w:r>
      <w:r>
        <w:rPr>
          <w:rFonts w:ascii="Calibri" w:hAnsi="Calibri"/>
          <w:color w:val="111111"/>
          <w:sz w:val="18"/>
        </w:rPr>
        <w:t xml:space="preserve">Commercial email rules apply to B2B messages; accurate headers, disclosures, physical address, and opt-out are required. </w:t>
      </w:r>
      <w:r>
        <w:rPr>
          <w:rFonts w:ascii="Calibri" w:hAnsi="Calibri"/>
          <w:color w:val="2E74B5"/>
          <w:sz w:val="17"/>
          <w:u w:val="single"/>
        </w:rPr>
        <w:t>https://www.ftc.gov/business-guidance/resources/can-spam-act-compliance-guide-business</w:t>
      </w:r>
    </w:p>
    <w:p>
      <w:pPr>
        <w:spacing w:after="60"/>
      </w:pPr>
      <w:r>
        <w:rPr>
          <w:rFonts w:ascii="Calibri" w:hAnsi="Calibri"/>
          <w:b/>
          <w:color w:val="0B2545"/>
          <w:sz w:val="18"/>
        </w:rPr>
        <w:t xml:space="preserve">[6] Google Ads Help — Invalid clicks. </w:t>
      </w:r>
      <w:r>
        <w:rPr>
          <w:rFonts w:ascii="Calibri" w:hAnsi="Calibri"/>
          <w:color w:val="111111"/>
          <w:sz w:val="18"/>
        </w:rPr>
        <w:t xml:space="preserve">Google may identify and filter invalid clicks. Campaign policy is to avoid non-customer ad clicks entirely. </w:t>
      </w:r>
      <w:r>
        <w:rPr>
          <w:rFonts w:ascii="Calibri" w:hAnsi="Calibri"/>
          <w:color w:val="2E74B5"/>
          <w:sz w:val="17"/>
          <w:u w:val="single"/>
        </w:rPr>
        <w:t>https://support.google.com/google-ads/answer/42995</w:t>
      </w:r>
    </w:p>
    <w:p>
      <w:pPr>
        <w:spacing w:after="60"/>
      </w:pPr>
      <w:r>
        <w:rPr>
          <w:rFonts w:ascii="Calibri" w:hAnsi="Calibri"/>
          <w:b/>
          <w:color w:val="0B2545"/>
          <w:sz w:val="18"/>
        </w:rPr>
        <w:t xml:space="preserve">[7] ServiceTitan — AI Virtual Agent. </w:t>
      </w:r>
      <w:r>
        <w:rPr>
          <w:rFonts w:ascii="Calibri" w:hAnsi="Calibri"/>
          <w:color w:val="111111"/>
          <w:sz w:val="18"/>
        </w:rPr>
        <w:t xml:space="preserve">Official description of native AI information gathering and booking. </w:t>
      </w:r>
      <w:r>
        <w:rPr>
          <w:rFonts w:ascii="Calibri" w:hAnsi="Calibri"/>
          <w:color w:val="2E74B5"/>
          <w:sz w:val="17"/>
          <w:u w:val="single"/>
        </w:rPr>
        <w:t>https://www.servicetitan.com/features/pro/virtual-agent</w:t>
      </w:r>
    </w:p>
    <w:p>
      <w:pPr>
        <w:spacing w:after="60"/>
      </w:pPr>
      <w:r>
        <w:rPr>
          <w:rFonts w:ascii="Calibri" w:hAnsi="Calibri"/>
          <w:b/>
          <w:color w:val="0B2545"/>
          <w:sz w:val="18"/>
        </w:rPr>
        <w:t xml:space="preserve">[8] Housecall Pro — CSR AI. </w:t>
      </w:r>
      <w:r>
        <w:rPr>
          <w:rFonts w:ascii="Calibri" w:hAnsi="Calibri"/>
          <w:color w:val="111111"/>
          <w:sz w:val="18"/>
        </w:rPr>
        <w:t xml:space="preserve">Official description of AI call/chat answering, booking, customization, and logging. </w:t>
      </w:r>
      <w:r>
        <w:rPr>
          <w:rFonts w:ascii="Calibri" w:hAnsi="Calibri"/>
          <w:color w:val="2E74B5"/>
          <w:sz w:val="17"/>
          <w:u w:val="single"/>
        </w:rPr>
        <w:t>https://www.housecallpro.com/features/ai-team/csr-ai/</w:t>
      </w:r>
    </w:p>
    <w:p>
      <w:pPr>
        <w:spacing w:after="60"/>
      </w:pPr>
      <w:r>
        <w:rPr>
          <w:rFonts w:ascii="Calibri" w:hAnsi="Calibri"/>
          <w:b/>
          <w:color w:val="0B2545"/>
          <w:sz w:val="18"/>
        </w:rPr>
        <w:t xml:space="preserve">[9] Jobber — AI Receptionist. </w:t>
      </w:r>
      <w:r>
        <w:rPr>
          <w:rFonts w:ascii="Calibri" w:hAnsi="Calibri"/>
          <w:color w:val="111111"/>
          <w:sz w:val="18"/>
        </w:rPr>
        <w:t xml:space="preserve">Official description of call/text handling, lead capture, and booking. </w:t>
      </w:r>
      <w:r>
        <w:rPr>
          <w:rFonts w:ascii="Calibri" w:hAnsi="Calibri"/>
          <w:color w:val="2E74B5"/>
          <w:sz w:val="17"/>
          <w:u w:val="single"/>
        </w:rPr>
        <w:t>https://www.getjobber.com/features/ai-receptionist/</w:t>
      </w:r>
    </w:p>
    <w:p>
      <w:pPr>
        <w:spacing w:after="60"/>
      </w:pPr>
      <w:r>
        <w:rPr>
          <w:rFonts w:ascii="Calibri" w:hAnsi="Calibri"/>
          <w:b/>
          <w:color w:val="0B2545"/>
          <w:sz w:val="18"/>
        </w:rPr>
        <w:t xml:space="preserve">[10] HighLevel — Appointment Booking in Voice AI. </w:t>
      </w:r>
      <w:r>
        <w:rPr>
          <w:rFonts w:ascii="Calibri" w:hAnsi="Calibri"/>
          <w:color w:val="111111"/>
          <w:sz w:val="18"/>
        </w:rPr>
        <w:t xml:space="preserve">Official documentation for voice-agent appointment booking and routing. </w:t>
      </w:r>
      <w:r>
        <w:rPr>
          <w:rFonts w:ascii="Calibri" w:hAnsi="Calibri"/>
          <w:color w:val="2E74B5"/>
          <w:sz w:val="17"/>
          <w:u w:val="single"/>
        </w:rPr>
        <w:t>https://help.gohighlevel.com/support/solutions/articles/155000005293-appointment-booking-in-voice-ai</w:t>
      </w:r>
    </w:p>
    <w:p>
      <w:pPr>
        <w:spacing w:after="60"/>
      </w:pPr>
      <w:r>
        <w:rPr>
          <w:rFonts w:ascii="Calibri" w:hAnsi="Calibri"/>
          <w:b/>
          <w:color w:val="0B2545"/>
          <w:sz w:val="18"/>
        </w:rPr>
        <w:t xml:space="preserve">[11] WhatConverts — Lead Qualification and Valuation. </w:t>
      </w:r>
      <w:r>
        <w:rPr>
          <w:rFonts w:ascii="Calibri" w:hAnsi="Calibri"/>
          <w:color w:val="111111"/>
          <w:sz w:val="18"/>
        </w:rPr>
        <w:t xml:space="preserve">Official description of tracking, qualifying, valuing, and attributing leads. </w:t>
      </w:r>
      <w:r>
        <w:rPr>
          <w:rFonts w:ascii="Calibri" w:hAnsi="Calibri"/>
          <w:color w:val="2E74B5"/>
          <w:sz w:val="17"/>
          <w:u w:val="single"/>
        </w:rPr>
        <w:t>https://www.whatconverts.com/features/lead-tracking/call-tracking/lead-qualification-and-valuation/</w:t>
      </w:r>
    </w:p>
    <w:p>
      <w:pPr>
        <w:spacing w:after="60"/>
      </w:pPr>
      <w:r>
        <w:rPr>
          <w:rFonts w:ascii="Calibri" w:hAnsi="Calibri"/>
          <w:b/>
          <w:color w:val="0B2545"/>
          <w:sz w:val="18"/>
        </w:rPr>
        <w:t xml:space="preserve">[12] CallRail — Lead Tracking Software. </w:t>
      </w:r>
      <w:r>
        <w:rPr>
          <w:rFonts w:ascii="Calibri" w:hAnsi="Calibri"/>
          <w:color w:val="111111"/>
          <w:sz w:val="18"/>
        </w:rPr>
        <w:t xml:space="preserve">Official description of call/form tracking, transcripts, summaries, and AI insights. </w:t>
      </w:r>
      <w:r>
        <w:rPr>
          <w:rFonts w:ascii="Calibri" w:hAnsi="Calibri"/>
          <w:color w:val="2E74B5"/>
          <w:sz w:val="17"/>
          <w:u w:val="single"/>
        </w:rPr>
        <w:t>https://www.callrail.com/lead-tracking-software</w:t>
      </w:r>
    </w:p>
    <w:p>
      <w:pPr>
        <w:pStyle w:val="Heading1"/>
      </w:pPr>
      <w:r>
        <w:t>Revision and Governance</w:t>
      </w:r>
    </w:p>
    <w:p>
      <w:pPr>
        <w:pStyle w:val="ListBullet"/>
      </w:pPr>
      <w:r>
        <w:t>Campaign owner reviews this playbook after the first 300 valid attempts or 40 decision-maker conversations, whichever comes later.</w:t>
      </w:r>
    </w:p>
    <w:p>
      <w:pPr>
        <w:pStyle w:val="ListBullet"/>
      </w:pPr>
      <w:r>
        <w:t>Only substantiated claims may be added. Competitor statements must be rechecked against official product sources before training use.</w:t>
      </w:r>
    </w:p>
    <w:p>
      <w:pPr>
        <w:pStyle w:val="ListBullet"/>
      </w:pPr>
      <w:r>
        <w:t>Pricing and guarantee language stays with the assessment specialist/closer unless leadership issues a controlled setter-approved range.</w:t>
      </w:r>
    </w:p>
    <w:p>
      <w:pPr>
        <w:pStyle w:val="ListBullet"/>
      </w:pPr>
      <w:r>
        <w:t>Any compliance incident, complaint about research/testing, or recording failure triggers immediate review before the affected segment continues.</w:t>
      </w:r>
    </w:p>
    <w:p>
      <w:pPr>
        <w:pStyle w:val="ListBullet"/>
      </w:pPr>
      <w:r>
        <w:t>Version owner: Optimyzed Campaign Owner. Setter copies are read-only; approved revisions are issued centrally.</w:t>
      </w:r>
    </w:p>
    <w:sectPr w:rsidR="00FC693F" w:rsidRPr="0006063C" w:rsidSect="00034616">
      <w:headerReference w:type="default" r:id="rId9"/>
      <w:footerReference w:type="default" r:id="rId10"/>
      <w:pgSz w:w="12240" w:h="15840"/>
      <w:pgMar w:top="1181" w:right="1440" w:bottom="108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
      <w:rPr>
        <w:rFonts w:ascii="Calibri" w:hAnsi="Calibri"/>
        <w:color w:val="5F6B76"/>
        <w:sz w:val="17"/>
      </w:rPr>
      <w:t xml:space="preserve">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Bdr>
        <w:bottom w:val="single" w:sz="5" w:space="3" w:color="D7DBE2"/>
      </w:pBdr>
      <w:jc w:val="left"/>
    </w:pPr>
    <w:r>
      <w:rPr>
        <w:rFonts w:ascii="Calibri" w:hAnsi="Calibri"/>
        <w:b/>
        <w:color w:val="5F6B76"/>
        <w:sz w:val="16"/>
      </w:rPr>
      <w:t>OPTIMYZED  |  QUOTIFY APPOINTMENT SETTER PLAYBOOK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Calibri" w:hAnsi="Calibri"/>
      <w:color w:val="11111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0B254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0B25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0" w:hanging="271"/>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0" w:hanging="271"/>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cript">
    <w:name w:val="Script"/>
    <w:basedOn w:val="Normal"/>
    <w:pPr>
      <w:spacing w:before="60" w:after="140" w:line="278" w:lineRule="auto"/>
      <w:ind w:left="259" w:right="173"/>
    </w:pPr>
    <w:rPr>
      <w:rFonts w:ascii="Calibri" w:hAnsi="Calibri"/>
      <w:color w:val="0B2545"/>
      <w:sz w:val="21"/>
    </w:rPr>
  </w:style>
  <w:style w:type="paragraph" w:customStyle="1" w:styleId="SmallNote">
    <w:name w:val="Small Note"/>
    <w:basedOn w:val="Normal"/>
    <w:pPr>
      <w:spacing w:after="80"/>
    </w:pPr>
    <w:rPr>
      <w:rFonts w:ascii="Calibri" w:hAnsi="Calibri"/>
      <w:color w:val="5F6B76"/>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Quotify Appointment Setter Playbook — California Remodelers</dc:title>
  <dc:subject>Cold calling, booking, objection handling, cadence, competitor handling, QA and compliance</dc:subject>
  <dc:creator>Optimyzed</dc:creator>
  <cp:keywords>Quotify, appointment setter, California, home remodeler, ADU, garage conversion, Google Ads</cp:keywords>
  <dc:description>generated by python-docx</dc:description>
  <cp:lastModifiedBy/>
  <cp:revision>1</cp:revision>
  <dcterms:created xsi:type="dcterms:W3CDTF">2013-12-23T23:15:00Z</dcterms:created>
  <dcterms:modified xsi:type="dcterms:W3CDTF">2013-12-23T23:15:00Z</dcterms:modified>
  <cp:category/>
</cp:coreProperties>
</file>